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A3" w:rsidRPr="00B64FA3" w:rsidRDefault="001460D0" w:rsidP="00B64FA3">
      <w:pPr>
        <w:tabs>
          <w:tab w:val="left" w:pos="567"/>
          <w:tab w:val="left" w:pos="2126"/>
          <w:tab w:val="left" w:pos="4536"/>
          <w:tab w:val="left" w:pos="7371"/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right="-347"/>
        <w:textAlignment w:val="baseline"/>
        <w:rPr>
          <w:rFonts w:ascii="Calibri" w:hAnsi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1" locked="0" layoutInCell="1" allowOverlap="1" wp14:editId="4423C503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942340" cy="1136650"/>
            <wp:effectExtent l="0" t="0" r="0" b="6350"/>
            <wp:wrapThrough wrapText="bothSides">
              <wp:wrapPolygon edited="0">
                <wp:start x="0" y="0"/>
                <wp:lineTo x="0" y="21238"/>
                <wp:lineTo x="20960" y="21238"/>
                <wp:lineTo x="20960" y="0"/>
                <wp:lineTo x="0" y="0"/>
              </wp:wrapPolygon>
            </wp:wrapThrough>
            <wp:docPr id="2" name="Picture 2" descr="Description: Steve passport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teve passport 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FA3" w:rsidRPr="00B64FA3">
        <w:rPr>
          <w:rFonts w:ascii="Calibri" w:hAnsi="Calibri"/>
          <w:b/>
          <w:bCs/>
          <w:sz w:val="28"/>
          <w:szCs w:val="28"/>
          <w:lang w:eastAsia="en-US"/>
        </w:rPr>
        <w:t>Systems of Creation:  the Emergence of Life from Non-living Matter</w:t>
      </w:r>
    </w:p>
    <w:p w:rsidR="00293802" w:rsidRDefault="00293802" w:rsidP="00293802">
      <w:pPr>
        <w:tabs>
          <w:tab w:val="left" w:pos="567"/>
          <w:tab w:val="left" w:pos="2126"/>
          <w:tab w:val="left" w:pos="4536"/>
          <w:tab w:val="left" w:pos="7371"/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right="-347"/>
        <w:textAlignment w:val="baseline"/>
        <w:rPr>
          <w:rFonts w:ascii="Calibri" w:hAnsi="Calibri"/>
          <w:b/>
          <w:sz w:val="24"/>
          <w:szCs w:val="24"/>
          <w:lang w:eastAsia="en-US"/>
        </w:rPr>
      </w:pPr>
    </w:p>
    <w:p w:rsidR="00293802" w:rsidRPr="00DD5AAD" w:rsidRDefault="00293802" w:rsidP="00293802">
      <w:pPr>
        <w:autoSpaceDE w:val="0"/>
        <w:autoSpaceDN w:val="0"/>
        <w:adjustRightInd w:val="0"/>
        <w:ind w:right="-759"/>
        <w:rPr>
          <w:rFonts w:asciiTheme="majorHAnsi" w:hAnsiTheme="majorHAnsi"/>
          <w:b/>
          <w:sz w:val="24"/>
          <w:szCs w:val="24"/>
          <w:lang w:val="de-DE"/>
        </w:rPr>
      </w:pPr>
      <w:r w:rsidRPr="00DD5AAD">
        <w:rPr>
          <w:rFonts w:asciiTheme="majorHAnsi" w:hAnsiTheme="majorHAnsi"/>
          <w:b/>
          <w:sz w:val="24"/>
          <w:szCs w:val="24"/>
          <w:lang w:val="de-DE"/>
        </w:rPr>
        <w:t>Stephen Mann</w:t>
      </w:r>
    </w:p>
    <w:p w:rsidR="00293802" w:rsidRPr="00DD5AAD" w:rsidRDefault="00293802" w:rsidP="00293802">
      <w:pPr>
        <w:autoSpaceDE w:val="0"/>
        <w:autoSpaceDN w:val="0"/>
        <w:adjustRightInd w:val="0"/>
        <w:ind w:right="-759"/>
        <w:rPr>
          <w:rFonts w:asciiTheme="majorHAnsi" w:hAnsiTheme="majorHAnsi"/>
          <w:i/>
          <w:sz w:val="24"/>
          <w:szCs w:val="24"/>
        </w:rPr>
      </w:pPr>
      <w:r w:rsidRPr="00DD5AAD">
        <w:rPr>
          <w:rFonts w:asciiTheme="majorHAnsi" w:hAnsiTheme="majorHAnsi"/>
          <w:i/>
          <w:sz w:val="24"/>
          <w:szCs w:val="24"/>
        </w:rPr>
        <w:t>Centre for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Protolife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Research and Centre for</w:t>
      </w:r>
      <w:r w:rsidRPr="00DD5AAD">
        <w:rPr>
          <w:rFonts w:asciiTheme="majorHAnsi" w:hAnsiTheme="majorHAnsi"/>
          <w:i/>
          <w:sz w:val="24"/>
          <w:szCs w:val="24"/>
        </w:rPr>
        <w:t xml:space="preserve"> Organized Matter Chemistry, School of Chemistry, University of Bristol, Bristol BS8 1TS, UK</w:t>
      </w:r>
    </w:p>
    <w:p w:rsidR="00293802" w:rsidRDefault="00293802" w:rsidP="00293802">
      <w:pPr>
        <w:rPr>
          <w:rFonts w:ascii="Calibri" w:hAnsi="Calibri"/>
          <w:sz w:val="24"/>
          <w:szCs w:val="24"/>
        </w:rPr>
      </w:pPr>
    </w:p>
    <w:p w:rsidR="006C0CDB" w:rsidRPr="00F55222" w:rsidRDefault="00B64FA3" w:rsidP="00F55222">
      <w:pPr>
        <w:jc w:val="both"/>
        <w:rPr>
          <w:rFonts w:asciiTheme="majorHAnsi" w:hAnsiTheme="majorHAnsi"/>
          <w:sz w:val="24"/>
          <w:szCs w:val="24"/>
        </w:rPr>
      </w:pPr>
      <w:r w:rsidRPr="00F55222">
        <w:rPr>
          <w:rFonts w:asciiTheme="majorHAnsi" w:hAnsiTheme="majorHAnsi"/>
          <w:sz w:val="24"/>
          <w:szCs w:val="24"/>
        </w:rPr>
        <w:t>The advent of life from prebiotic origins remains a deep and possibly inexplicable scientific mystery. Nevertheless, the logic of living cells offers potential insights into an unknown world of autonomous minimal life forms (</w:t>
      </w:r>
      <w:proofErr w:type="spellStart"/>
      <w:r w:rsidRPr="00F55222">
        <w:rPr>
          <w:rFonts w:asciiTheme="majorHAnsi" w:hAnsiTheme="majorHAnsi"/>
          <w:sz w:val="24"/>
          <w:szCs w:val="24"/>
        </w:rPr>
        <w:t>protocells</w:t>
      </w:r>
      <w:proofErr w:type="spellEnd"/>
      <w:r w:rsidRPr="00F55222">
        <w:rPr>
          <w:rFonts w:asciiTheme="majorHAnsi" w:hAnsiTheme="majorHAnsi"/>
          <w:sz w:val="24"/>
          <w:szCs w:val="24"/>
        </w:rPr>
        <w:t xml:space="preserve">). This talk highlights the key life criteria required for the development of </w:t>
      </w:r>
      <w:proofErr w:type="spellStart"/>
      <w:r w:rsidRPr="00F55222">
        <w:rPr>
          <w:rFonts w:asciiTheme="majorHAnsi" w:hAnsiTheme="majorHAnsi"/>
          <w:sz w:val="24"/>
          <w:szCs w:val="24"/>
        </w:rPr>
        <w:t>protobiological</w:t>
      </w:r>
      <w:proofErr w:type="spellEnd"/>
      <w:r w:rsidRPr="00F55222">
        <w:rPr>
          <w:rFonts w:asciiTheme="majorHAnsi" w:hAnsiTheme="majorHAnsi"/>
          <w:sz w:val="24"/>
          <w:szCs w:val="24"/>
        </w:rPr>
        <w:t xml:space="preserve"> systems, and discusses how ideas about origins could lead to novel advances in the design and construction of synthetic </w:t>
      </w:r>
      <w:proofErr w:type="spellStart"/>
      <w:r w:rsidRPr="00F55222">
        <w:rPr>
          <w:rFonts w:asciiTheme="majorHAnsi" w:hAnsiTheme="majorHAnsi"/>
          <w:sz w:val="24"/>
          <w:szCs w:val="24"/>
        </w:rPr>
        <w:t>protocells</w:t>
      </w:r>
      <w:proofErr w:type="spellEnd"/>
      <w:r w:rsidRPr="00F55222">
        <w:rPr>
          <w:rFonts w:asciiTheme="majorHAnsi" w:hAnsiTheme="majorHAnsi"/>
          <w:sz w:val="24"/>
          <w:szCs w:val="24"/>
        </w:rPr>
        <w:t>.</w:t>
      </w:r>
      <w:r w:rsidR="00F55222" w:rsidRPr="00F55222">
        <w:rPr>
          <w:rFonts w:asciiTheme="majorHAnsi" w:hAnsiTheme="majorHAnsi"/>
          <w:sz w:val="24"/>
          <w:szCs w:val="24"/>
        </w:rPr>
        <w:t xml:space="preserve"> </w:t>
      </w:r>
      <w:r w:rsidR="004C3CDB">
        <w:rPr>
          <w:rFonts w:asciiTheme="majorHAnsi" w:hAnsiTheme="majorHAnsi"/>
          <w:sz w:val="24"/>
          <w:szCs w:val="24"/>
        </w:rPr>
        <w:t xml:space="preserve">In particular, </w:t>
      </w:r>
      <w:r w:rsidR="00293802" w:rsidRPr="00F55222">
        <w:rPr>
          <w:rFonts w:asciiTheme="majorHAnsi" w:hAnsiTheme="majorHAnsi"/>
          <w:sz w:val="24"/>
          <w:szCs w:val="24"/>
        </w:rPr>
        <w:t xml:space="preserve">I will review some recent experiments undertaken in my laboratory that provide steps towards synthetic </w:t>
      </w:r>
      <w:r w:rsidR="004C3CDB">
        <w:rPr>
          <w:rFonts w:asciiTheme="majorHAnsi" w:hAnsiTheme="majorHAnsi"/>
          <w:sz w:val="24"/>
          <w:szCs w:val="24"/>
        </w:rPr>
        <w:t xml:space="preserve">representations of primitive </w:t>
      </w:r>
      <w:r w:rsidR="00293802" w:rsidRPr="00F55222">
        <w:rPr>
          <w:rFonts w:asciiTheme="majorHAnsi" w:hAnsiTheme="majorHAnsi"/>
          <w:sz w:val="24"/>
          <w:szCs w:val="24"/>
        </w:rPr>
        <w:t xml:space="preserve">cellularity using </w:t>
      </w:r>
      <w:proofErr w:type="spellStart"/>
      <w:r w:rsidR="00293802" w:rsidRPr="00F55222">
        <w:rPr>
          <w:rFonts w:asciiTheme="majorHAnsi" w:hAnsiTheme="majorHAnsi"/>
          <w:sz w:val="24"/>
          <w:szCs w:val="24"/>
        </w:rPr>
        <w:t>bioinspired</w:t>
      </w:r>
      <w:proofErr w:type="spellEnd"/>
      <w:r w:rsidR="00293802" w:rsidRPr="00F55222">
        <w:rPr>
          <w:rFonts w:asciiTheme="majorHAnsi" w:hAnsiTheme="majorHAnsi"/>
          <w:sz w:val="24"/>
          <w:szCs w:val="24"/>
        </w:rPr>
        <w:t xml:space="preserve"> chemistry principles and techniques. I will discuss four new </w:t>
      </w:r>
      <w:proofErr w:type="spellStart"/>
      <w:r w:rsidR="00293802" w:rsidRPr="00F55222">
        <w:rPr>
          <w:rFonts w:asciiTheme="majorHAnsi" w:hAnsiTheme="majorHAnsi"/>
          <w:sz w:val="24"/>
          <w:szCs w:val="24"/>
        </w:rPr>
        <w:t>protocell</w:t>
      </w:r>
      <w:proofErr w:type="spellEnd"/>
      <w:r w:rsidR="00293802" w:rsidRPr="00F55222">
        <w:rPr>
          <w:rFonts w:asciiTheme="majorHAnsi" w:hAnsiTheme="majorHAnsi"/>
          <w:sz w:val="24"/>
          <w:szCs w:val="24"/>
        </w:rPr>
        <w:t xml:space="preserve"> models </w:t>
      </w:r>
      <w:r w:rsidR="004C3CDB">
        <w:rPr>
          <w:rFonts w:asciiTheme="majorHAnsi" w:hAnsiTheme="majorHAnsi"/>
          <w:sz w:val="24"/>
          <w:szCs w:val="24"/>
        </w:rPr>
        <w:t xml:space="preserve">[1-4], and use </w:t>
      </w:r>
      <w:r w:rsidR="006C0CDB" w:rsidRPr="00F55222">
        <w:rPr>
          <w:rFonts w:asciiTheme="majorHAnsi" w:hAnsiTheme="majorHAnsi"/>
          <w:sz w:val="24"/>
          <w:szCs w:val="24"/>
        </w:rPr>
        <w:t xml:space="preserve">these </w:t>
      </w:r>
      <w:r w:rsidR="004C3CDB">
        <w:rPr>
          <w:rFonts w:asciiTheme="majorHAnsi" w:hAnsiTheme="majorHAnsi"/>
          <w:sz w:val="24"/>
          <w:szCs w:val="24"/>
        </w:rPr>
        <w:t xml:space="preserve">experimental </w:t>
      </w:r>
      <w:r w:rsidR="006C0CDB" w:rsidRPr="00F55222">
        <w:rPr>
          <w:rFonts w:asciiTheme="majorHAnsi" w:hAnsiTheme="majorHAnsi"/>
          <w:sz w:val="24"/>
          <w:szCs w:val="24"/>
        </w:rPr>
        <w:t xml:space="preserve">systems to discuss pathways towards chemical cognition and collective behaviour in </w:t>
      </w:r>
      <w:r w:rsidR="00EE0F8F" w:rsidRPr="00F55222">
        <w:rPr>
          <w:rFonts w:asciiTheme="majorHAnsi" w:hAnsiTheme="majorHAnsi"/>
          <w:sz w:val="24"/>
          <w:szCs w:val="24"/>
        </w:rPr>
        <w:t xml:space="preserve">compartmentalized chemical </w:t>
      </w:r>
      <w:r w:rsidR="006C0CDB" w:rsidRPr="00F55222">
        <w:rPr>
          <w:rFonts w:asciiTheme="majorHAnsi" w:hAnsiTheme="majorHAnsi"/>
          <w:sz w:val="24"/>
          <w:szCs w:val="24"/>
        </w:rPr>
        <w:t xml:space="preserve">micro-ensembles, and </w:t>
      </w:r>
      <w:r w:rsidR="004C3CDB">
        <w:rPr>
          <w:rFonts w:asciiTheme="majorHAnsi" w:hAnsiTheme="majorHAnsi"/>
          <w:sz w:val="24"/>
          <w:szCs w:val="24"/>
        </w:rPr>
        <w:t xml:space="preserve">to </w:t>
      </w:r>
      <w:r w:rsidR="006C0CDB" w:rsidRPr="00F55222">
        <w:rPr>
          <w:rFonts w:asciiTheme="majorHAnsi" w:hAnsiTheme="majorHAnsi"/>
          <w:sz w:val="24"/>
          <w:szCs w:val="24"/>
        </w:rPr>
        <w:t xml:space="preserve">address </w:t>
      </w:r>
      <w:r w:rsidR="00EE0F8F" w:rsidRPr="00F55222">
        <w:rPr>
          <w:rFonts w:asciiTheme="majorHAnsi" w:hAnsiTheme="majorHAnsi"/>
          <w:sz w:val="24"/>
          <w:szCs w:val="24"/>
        </w:rPr>
        <w:t xml:space="preserve">new </w:t>
      </w:r>
      <w:r w:rsidR="006C0CDB" w:rsidRPr="00F55222">
        <w:rPr>
          <w:rFonts w:asciiTheme="majorHAnsi" w:hAnsiTheme="majorHAnsi"/>
          <w:sz w:val="24"/>
          <w:szCs w:val="24"/>
        </w:rPr>
        <w:t>ideas related to prebiotic organization and the origin of life</w:t>
      </w:r>
      <w:r w:rsidR="004C3CDB">
        <w:rPr>
          <w:rFonts w:asciiTheme="majorHAnsi" w:hAnsiTheme="majorHAnsi"/>
          <w:sz w:val="24"/>
          <w:szCs w:val="24"/>
        </w:rPr>
        <w:t xml:space="preserve"> [5-8</w:t>
      </w:r>
      <w:r w:rsidR="00EE0F8F" w:rsidRPr="00F55222">
        <w:rPr>
          <w:rFonts w:asciiTheme="majorHAnsi" w:hAnsiTheme="majorHAnsi"/>
          <w:sz w:val="24"/>
          <w:szCs w:val="24"/>
        </w:rPr>
        <w:t>]</w:t>
      </w:r>
      <w:r w:rsidR="006C0CDB" w:rsidRPr="00F55222">
        <w:rPr>
          <w:rFonts w:asciiTheme="majorHAnsi" w:hAnsiTheme="majorHAnsi"/>
          <w:sz w:val="24"/>
          <w:szCs w:val="24"/>
        </w:rPr>
        <w:t>.</w:t>
      </w:r>
    </w:p>
    <w:p w:rsidR="006C0CDB" w:rsidRDefault="006C0CDB" w:rsidP="00293802">
      <w:pPr>
        <w:pStyle w:val="calibri"/>
        <w:rPr>
          <w:color w:val="auto"/>
          <w:szCs w:val="24"/>
        </w:rPr>
      </w:pPr>
    </w:p>
    <w:p w:rsidR="00293802" w:rsidRPr="00B7115C" w:rsidRDefault="004C3CDB" w:rsidP="00293802">
      <w:pPr>
        <w:pStyle w:val="calibri"/>
        <w:rPr>
          <w:b/>
          <w:color w:val="auto"/>
          <w:sz w:val="20"/>
          <w:szCs w:val="20"/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editId="594B4508">
            <wp:simplePos x="0" y="0"/>
            <wp:positionH relativeFrom="column">
              <wp:posOffset>3314700</wp:posOffset>
            </wp:positionH>
            <wp:positionV relativeFrom="paragraph">
              <wp:posOffset>146050</wp:posOffset>
            </wp:positionV>
            <wp:extent cx="1921510" cy="1697990"/>
            <wp:effectExtent l="0" t="0" r="8890" b="3810"/>
            <wp:wrapThrough wrapText="bothSides">
              <wp:wrapPolygon edited="0">
                <wp:start x="0" y="0"/>
                <wp:lineTo x="0" y="21325"/>
                <wp:lineTo x="21414" y="21325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02" w:rsidRPr="00B7115C">
        <w:rPr>
          <w:b/>
          <w:color w:val="auto"/>
          <w:sz w:val="20"/>
          <w:szCs w:val="20"/>
          <w:lang w:val="en-US"/>
        </w:rPr>
        <w:t xml:space="preserve">References: </w:t>
      </w:r>
    </w:p>
    <w:p w:rsidR="00293802" w:rsidRPr="008C6DC0" w:rsidRDefault="00293802" w:rsidP="00293802">
      <w:pPr>
        <w:pStyle w:val="calibri"/>
        <w:ind w:left="567" w:hanging="567"/>
        <w:rPr>
          <w:rFonts w:cs="Arial"/>
          <w:sz w:val="20"/>
          <w:szCs w:val="20"/>
        </w:rPr>
      </w:pPr>
      <w:r w:rsidRPr="008C6DC0">
        <w:rPr>
          <w:color w:val="auto"/>
          <w:sz w:val="20"/>
          <w:szCs w:val="20"/>
          <w:lang w:val="en-US"/>
        </w:rPr>
        <w:t>[1]</w:t>
      </w:r>
      <w:r>
        <w:rPr>
          <w:color w:val="auto"/>
          <w:sz w:val="20"/>
          <w:szCs w:val="20"/>
          <w:lang w:val="en-US"/>
        </w:rPr>
        <w:t>.</w:t>
      </w:r>
      <w:r w:rsidRPr="008C6DC0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  <w:lang w:val="en-US"/>
        </w:rPr>
        <w:tab/>
      </w:r>
      <w:r w:rsidRPr="008C6DC0">
        <w:rPr>
          <w:color w:val="000000"/>
          <w:sz w:val="20"/>
          <w:szCs w:val="20"/>
        </w:rPr>
        <w:t xml:space="preserve">Li M et al., </w:t>
      </w:r>
      <w:r w:rsidRPr="008C6DC0">
        <w:rPr>
          <w:i/>
          <w:color w:val="000000"/>
          <w:sz w:val="20"/>
          <w:szCs w:val="20"/>
        </w:rPr>
        <w:t xml:space="preserve">Membrane-gated permeability in self-activated inorganic </w:t>
      </w:r>
      <w:proofErr w:type="spellStart"/>
      <w:r w:rsidRPr="008C6DC0">
        <w:rPr>
          <w:i/>
          <w:color w:val="000000"/>
          <w:sz w:val="20"/>
          <w:szCs w:val="20"/>
        </w:rPr>
        <w:t>protocells</w:t>
      </w:r>
      <w:proofErr w:type="spellEnd"/>
      <w:r w:rsidRPr="008C6DC0">
        <w:rPr>
          <w:i/>
          <w:color w:val="000000"/>
          <w:sz w:val="20"/>
          <w:szCs w:val="20"/>
        </w:rPr>
        <w:t>.</w:t>
      </w:r>
      <w:r w:rsidRPr="008C6DC0">
        <w:rPr>
          <w:color w:val="000000"/>
          <w:sz w:val="20"/>
          <w:szCs w:val="20"/>
        </w:rPr>
        <w:t xml:space="preserve"> </w:t>
      </w:r>
      <w:proofErr w:type="gramStart"/>
      <w:r w:rsidRPr="008C6DC0">
        <w:rPr>
          <w:color w:val="000000"/>
          <w:sz w:val="20"/>
          <w:szCs w:val="20"/>
        </w:rPr>
        <w:t>Nature Chem</w:t>
      </w:r>
      <w:r>
        <w:rPr>
          <w:color w:val="000000"/>
          <w:sz w:val="20"/>
          <w:szCs w:val="20"/>
        </w:rPr>
        <w:t>.</w:t>
      </w:r>
      <w:r w:rsidRPr="008C6DC0">
        <w:rPr>
          <w:i/>
          <w:color w:val="000000"/>
          <w:sz w:val="20"/>
          <w:szCs w:val="20"/>
        </w:rPr>
        <w:t xml:space="preserve">, </w:t>
      </w:r>
      <w:r w:rsidRPr="008C6DC0">
        <w:rPr>
          <w:b/>
          <w:color w:val="000000"/>
          <w:sz w:val="20"/>
          <w:szCs w:val="20"/>
        </w:rPr>
        <w:t xml:space="preserve">5, </w:t>
      </w:r>
      <w:r w:rsidRPr="008C6DC0">
        <w:rPr>
          <w:color w:val="000000"/>
          <w:sz w:val="20"/>
          <w:szCs w:val="20"/>
        </w:rPr>
        <w:t>529-536 (2013).</w:t>
      </w:r>
      <w:proofErr w:type="gramEnd"/>
      <w:r w:rsidRPr="008C6DC0">
        <w:rPr>
          <w:rFonts w:cs="Arial"/>
          <w:sz w:val="20"/>
          <w:szCs w:val="20"/>
        </w:rPr>
        <w:t xml:space="preserve"> </w:t>
      </w:r>
    </w:p>
    <w:p w:rsidR="00293802" w:rsidRPr="008C6DC0" w:rsidRDefault="00293802" w:rsidP="00293802">
      <w:pPr>
        <w:pStyle w:val="calibri"/>
        <w:ind w:left="567" w:hanging="567"/>
        <w:rPr>
          <w:rFonts w:cs="Arial"/>
          <w:color w:val="auto"/>
          <w:sz w:val="20"/>
          <w:szCs w:val="20"/>
        </w:rPr>
      </w:pPr>
      <w:r w:rsidRPr="008C6DC0">
        <w:rPr>
          <w:rFonts w:cs="Arial"/>
          <w:color w:val="auto"/>
          <w:sz w:val="20"/>
          <w:szCs w:val="20"/>
        </w:rPr>
        <w:t>[2]</w:t>
      </w:r>
      <w:r>
        <w:rPr>
          <w:rFonts w:cs="Arial"/>
          <w:color w:val="auto"/>
          <w:sz w:val="20"/>
          <w:szCs w:val="20"/>
        </w:rPr>
        <w:t>.</w:t>
      </w:r>
      <w:r w:rsidRPr="008C6DC0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ab/>
      </w:r>
      <w:r w:rsidRPr="008C6DC0">
        <w:rPr>
          <w:rFonts w:cs="Arial"/>
          <w:color w:val="auto"/>
          <w:sz w:val="20"/>
          <w:szCs w:val="20"/>
        </w:rPr>
        <w:t xml:space="preserve">Huang X, et al., </w:t>
      </w:r>
      <w:r>
        <w:rPr>
          <w:rFonts w:cs="Arial"/>
          <w:i/>
          <w:color w:val="auto"/>
          <w:sz w:val="20"/>
          <w:szCs w:val="20"/>
        </w:rPr>
        <w:t>Interfacial a</w:t>
      </w:r>
      <w:r w:rsidRPr="00F16909">
        <w:rPr>
          <w:rFonts w:cs="Arial"/>
          <w:i/>
          <w:color w:val="auto"/>
          <w:sz w:val="20"/>
          <w:szCs w:val="20"/>
        </w:rPr>
        <w:t xml:space="preserve">ssembly of </w:t>
      </w:r>
      <w:r>
        <w:rPr>
          <w:rFonts w:cs="Arial"/>
          <w:i/>
          <w:color w:val="auto"/>
          <w:sz w:val="20"/>
          <w:szCs w:val="20"/>
        </w:rPr>
        <w:t xml:space="preserve">protein-polymer </w:t>
      </w:r>
      <w:proofErr w:type="spellStart"/>
      <w:r>
        <w:rPr>
          <w:rFonts w:cs="Arial"/>
          <w:i/>
          <w:color w:val="auto"/>
          <w:sz w:val="20"/>
          <w:szCs w:val="20"/>
        </w:rPr>
        <w:t>nano</w:t>
      </w:r>
      <w:proofErr w:type="spellEnd"/>
      <w:r>
        <w:rPr>
          <w:rFonts w:cs="Arial"/>
          <w:i/>
          <w:color w:val="auto"/>
          <w:sz w:val="20"/>
          <w:szCs w:val="20"/>
        </w:rPr>
        <w:t xml:space="preserve">-conjugates into stimulus-responsive biomimetic </w:t>
      </w:r>
      <w:proofErr w:type="spellStart"/>
      <w:r>
        <w:rPr>
          <w:rFonts w:cs="Arial"/>
          <w:i/>
          <w:color w:val="auto"/>
          <w:sz w:val="20"/>
          <w:szCs w:val="20"/>
        </w:rPr>
        <w:t>p</w:t>
      </w:r>
      <w:r w:rsidRPr="00F16909">
        <w:rPr>
          <w:rFonts w:cs="Arial"/>
          <w:i/>
          <w:color w:val="auto"/>
          <w:sz w:val="20"/>
          <w:szCs w:val="20"/>
        </w:rPr>
        <w:t>rotocells</w:t>
      </w:r>
      <w:proofErr w:type="spellEnd"/>
      <w:r w:rsidRPr="00F16909">
        <w:rPr>
          <w:rFonts w:cs="Arial"/>
          <w:i/>
          <w:color w:val="auto"/>
          <w:sz w:val="20"/>
          <w:szCs w:val="20"/>
        </w:rPr>
        <w:t>.</w:t>
      </w:r>
      <w:r w:rsidRPr="008C6DC0">
        <w:rPr>
          <w:rFonts w:cs="Arial"/>
          <w:color w:val="auto"/>
          <w:sz w:val="20"/>
          <w:szCs w:val="20"/>
        </w:rPr>
        <w:t xml:space="preserve"> Nature </w:t>
      </w:r>
      <w:proofErr w:type="spellStart"/>
      <w:r w:rsidRPr="008C6DC0">
        <w:rPr>
          <w:rFonts w:cs="Arial"/>
          <w:color w:val="auto"/>
          <w:sz w:val="20"/>
          <w:szCs w:val="20"/>
        </w:rPr>
        <w:t>Commun</w:t>
      </w:r>
      <w:proofErr w:type="spellEnd"/>
      <w:r>
        <w:rPr>
          <w:rFonts w:cs="Arial"/>
          <w:color w:val="auto"/>
          <w:sz w:val="20"/>
          <w:szCs w:val="20"/>
        </w:rPr>
        <w:t>.</w:t>
      </w:r>
      <w:r w:rsidRPr="008C6DC0">
        <w:rPr>
          <w:rFonts w:cs="Arial"/>
          <w:i/>
          <w:color w:val="auto"/>
          <w:sz w:val="20"/>
          <w:szCs w:val="20"/>
        </w:rPr>
        <w:t xml:space="preserve"> </w:t>
      </w:r>
      <w:r w:rsidRPr="008C6DC0">
        <w:rPr>
          <w:rFonts w:cs="Arial"/>
          <w:b/>
          <w:color w:val="auto"/>
          <w:sz w:val="20"/>
          <w:szCs w:val="20"/>
        </w:rPr>
        <w:t>4</w:t>
      </w:r>
      <w:r w:rsidRPr="008C6DC0">
        <w:rPr>
          <w:rFonts w:cs="Arial"/>
          <w:color w:val="auto"/>
          <w:sz w:val="20"/>
          <w:szCs w:val="20"/>
        </w:rPr>
        <w:t xml:space="preserve">, 2239 (2013) </w:t>
      </w:r>
      <w:r w:rsidRPr="008C6DC0">
        <w:rPr>
          <w:color w:val="auto"/>
          <w:sz w:val="20"/>
          <w:szCs w:val="20"/>
          <w:lang w:val="en-US" w:eastAsia="en-US"/>
        </w:rPr>
        <w:t>DOI: 10.1038/</w:t>
      </w:r>
      <w:proofErr w:type="spellStart"/>
      <w:r w:rsidRPr="008C6DC0">
        <w:rPr>
          <w:color w:val="auto"/>
          <w:sz w:val="20"/>
          <w:szCs w:val="20"/>
          <w:lang w:val="en-US" w:eastAsia="en-US"/>
        </w:rPr>
        <w:t>ncomms</w:t>
      </w:r>
      <w:proofErr w:type="spellEnd"/>
      <w:r>
        <w:rPr>
          <w:color w:val="auto"/>
          <w:sz w:val="20"/>
          <w:szCs w:val="20"/>
          <w:lang w:val="en-US" w:eastAsia="en-US"/>
        </w:rPr>
        <w:t xml:space="preserve"> </w:t>
      </w:r>
      <w:r w:rsidRPr="008C6DC0">
        <w:rPr>
          <w:color w:val="auto"/>
          <w:sz w:val="20"/>
          <w:szCs w:val="20"/>
          <w:lang w:val="en-US" w:eastAsia="en-US"/>
        </w:rPr>
        <w:t xml:space="preserve">3239, </w:t>
      </w:r>
      <w:r w:rsidRPr="008C6DC0">
        <w:rPr>
          <w:rFonts w:cs="Arial"/>
          <w:color w:val="auto"/>
          <w:sz w:val="20"/>
          <w:szCs w:val="20"/>
        </w:rPr>
        <w:t>1-9 (2013).</w:t>
      </w:r>
    </w:p>
    <w:p w:rsidR="00293802" w:rsidRDefault="00293802" w:rsidP="00293802">
      <w:pPr>
        <w:pStyle w:val="calibri"/>
        <w:ind w:left="567" w:hanging="567"/>
        <w:rPr>
          <w:color w:val="auto"/>
          <w:sz w:val="20"/>
          <w:szCs w:val="20"/>
          <w:lang w:val="en-US"/>
        </w:rPr>
      </w:pPr>
      <w:r w:rsidRPr="008C6DC0">
        <w:rPr>
          <w:rFonts w:cs="Arial"/>
          <w:color w:val="auto"/>
          <w:sz w:val="20"/>
          <w:szCs w:val="20"/>
        </w:rPr>
        <w:t>[3]</w:t>
      </w:r>
      <w:r>
        <w:rPr>
          <w:rFonts w:cs="Arial"/>
          <w:color w:val="auto"/>
          <w:sz w:val="20"/>
          <w:szCs w:val="20"/>
        </w:rPr>
        <w:t>.</w:t>
      </w:r>
      <w:r w:rsidRPr="008C6DC0">
        <w:rPr>
          <w:b/>
          <w:color w:val="auto"/>
          <w:sz w:val="20"/>
          <w:szCs w:val="20"/>
          <w:lang w:val="en-US"/>
        </w:rPr>
        <w:t xml:space="preserve"> </w:t>
      </w:r>
      <w:r>
        <w:rPr>
          <w:b/>
          <w:color w:val="auto"/>
          <w:sz w:val="20"/>
          <w:szCs w:val="20"/>
          <w:lang w:val="en-US"/>
        </w:rPr>
        <w:tab/>
      </w:r>
      <w:r w:rsidRPr="008C6DC0">
        <w:rPr>
          <w:noProof/>
          <w:color w:val="auto"/>
          <w:sz w:val="20"/>
          <w:szCs w:val="20"/>
          <w:lang w:val="en-US"/>
        </w:rPr>
        <w:t xml:space="preserve">Koga, S., et al., </w:t>
      </w:r>
      <w:r w:rsidRPr="008C6DC0">
        <w:rPr>
          <w:i/>
          <w:noProof/>
          <w:color w:val="auto"/>
          <w:sz w:val="20"/>
          <w:szCs w:val="20"/>
          <w:lang w:val="en-US"/>
        </w:rPr>
        <w:t>Peptide–nucleotide microdroplets as a step towards a membrane-free protocell model.</w:t>
      </w:r>
      <w:r w:rsidRPr="008C6DC0">
        <w:rPr>
          <w:noProof/>
          <w:color w:val="auto"/>
          <w:sz w:val="20"/>
          <w:szCs w:val="20"/>
          <w:lang w:val="en-US"/>
        </w:rPr>
        <w:t xml:space="preserve"> </w:t>
      </w:r>
      <w:r w:rsidRPr="008C6DC0">
        <w:rPr>
          <w:noProof/>
          <w:color w:val="auto"/>
          <w:sz w:val="20"/>
          <w:szCs w:val="20"/>
          <w:lang w:val="de-DE"/>
        </w:rPr>
        <w:t>Nature Chem</w:t>
      </w:r>
      <w:r w:rsidRPr="008C6DC0">
        <w:rPr>
          <w:i/>
          <w:noProof/>
          <w:color w:val="auto"/>
          <w:sz w:val="20"/>
          <w:szCs w:val="20"/>
          <w:lang w:val="de-DE"/>
        </w:rPr>
        <w:t>.</w:t>
      </w:r>
      <w:r w:rsidRPr="008C6DC0">
        <w:rPr>
          <w:noProof/>
          <w:color w:val="auto"/>
          <w:sz w:val="20"/>
          <w:szCs w:val="20"/>
          <w:lang w:val="de-DE"/>
        </w:rPr>
        <w:t xml:space="preserve"> </w:t>
      </w:r>
      <w:r w:rsidRPr="008C6DC0">
        <w:rPr>
          <w:b/>
          <w:noProof/>
          <w:color w:val="auto"/>
          <w:sz w:val="20"/>
          <w:szCs w:val="20"/>
          <w:lang w:val="de-DE"/>
        </w:rPr>
        <w:t>3,</w:t>
      </w:r>
      <w:r w:rsidRPr="008C6DC0">
        <w:rPr>
          <w:noProof/>
          <w:color w:val="auto"/>
          <w:sz w:val="20"/>
          <w:szCs w:val="20"/>
          <w:lang w:val="de-DE"/>
        </w:rPr>
        <w:t xml:space="preserve"> 720-724 (2011).</w:t>
      </w:r>
      <w:r w:rsidRPr="008C6DC0">
        <w:rPr>
          <w:color w:val="auto"/>
          <w:sz w:val="20"/>
          <w:szCs w:val="20"/>
          <w:lang w:val="en-US"/>
        </w:rPr>
        <w:t xml:space="preserve"> </w:t>
      </w:r>
    </w:p>
    <w:p w:rsidR="00EE0F8F" w:rsidRDefault="00293802" w:rsidP="00EE0F8F">
      <w:pPr>
        <w:pStyle w:val="calibri"/>
        <w:ind w:left="567" w:hanging="567"/>
        <w:rPr>
          <w:iCs/>
          <w:color w:val="auto"/>
          <w:sz w:val="20"/>
          <w:szCs w:val="20"/>
        </w:rPr>
      </w:pPr>
      <w:r w:rsidRPr="00EE0F8F">
        <w:rPr>
          <w:color w:val="auto"/>
          <w:sz w:val="20"/>
          <w:szCs w:val="20"/>
          <w:lang w:val="en-US"/>
        </w:rPr>
        <w:t>[4]</w:t>
      </w:r>
      <w:r w:rsidRPr="00EE0F8F">
        <w:rPr>
          <w:color w:val="auto"/>
          <w:sz w:val="20"/>
          <w:szCs w:val="20"/>
          <w:lang w:val="en-US"/>
        </w:rPr>
        <w:tab/>
      </w:r>
      <w:r w:rsidRPr="00EE0F8F">
        <w:rPr>
          <w:color w:val="auto"/>
          <w:sz w:val="20"/>
          <w:szCs w:val="20"/>
        </w:rPr>
        <w:t xml:space="preserve">Tang T-Y D, et al., </w:t>
      </w:r>
      <w:r w:rsidRPr="00EE0F8F">
        <w:rPr>
          <w:i/>
          <w:color w:val="auto"/>
          <w:sz w:val="20"/>
          <w:szCs w:val="20"/>
        </w:rPr>
        <w:t xml:space="preserve">Fatty acid membrane assembly on coacervate micro-droplets as a step towards a hybrid </w:t>
      </w:r>
      <w:proofErr w:type="spellStart"/>
      <w:r w:rsidRPr="00EE0F8F">
        <w:rPr>
          <w:i/>
          <w:color w:val="auto"/>
          <w:sz w:val="20"/>
          <w:szCs w:val="20"/>
        </w:rPr>
        <w:t>protocell</w:t>
      </w:r>
      <w:proofErr w:type="spellEnd"/>
      <w:r w:rsidRPr="00EE0F8F">
        <w:rPr>
          <w:i/>
          <w:color w:val="auto"/>
          <w:sz w:val="20"/>
          <w:szCs w:val="20"/>
        </w:rPr>
        <w:t xml:space="preserve"> model</w:t>
      </w:r>
      <w:r w:rsidRPr="00EE0F8F">
        <w:rPr>
          <w:color w:val="auto"/>
          <w:sz w:val="20"/>
          <w:szCs w:val="20"/>
        </w:rPr>
        <w:t xml:space="preserve">. </w:t>
      </w:r>
      <w:proofErr w:type="gramStart"/>
      <w:r w:rsidRPr="00EE0F8F">
        <w:rPr>
          <w:color w:val="auto"/>
          <w:sz w:val="20"/>
          <w:szCs w:val="20"/>
        </w:rPr>
        <w:t>Nature Chem.</w:t>
      </w:r>
      <w:r w:rsidRPr="00EE0F8F">
        <w:rPr>
          <w:i/>
          <w:color w:val="auto"/>
          <w:sz w:val="20"/>
          <w:szCs w:val="20"/>
        </w:rPr>
        <w:t xml:space="preserve"> </w:t>
      </w:r>
      <w:r w:rsidRPr="00EE0F8F">
        <w:rPr>
          <w:b/>
          <w:iCs/>
          <w:color w:val="auto"/>
          <w:sz w:val="20"/>
          <w:szCs w:val="20"/>
        </w:rPr>
        <w:t>6</w:t>
      </w:r>
      <w:r w:rsidRPr="00EE0F8F">
        <w:rPr>
          <w:iCs/>
          <w:color w:val="auto"/>
          <w:sz w:val="20"/>
          <w:szCs w:val="20"/>
        </w:rPr>
        <w:t>, 527- 533 (2014).</w:t>
      </w:r>
      <w:proofErr w:type="gramEnd"/>
    </w:p>
    <w:p w:rsidR="00EE0F8F" w:rsidRPr="00EE0F8F" w:rsidRDefault="00EE0F8F" w:rsidP="00EE0F8F">
      <w:pPr>
        <w:pStyle w:val="calibri"/>
        <w:ind w:left="567" w:hanging="567"/>
        <w:rPr>
          <w:iCs/>
          <w:color w:val="auto"/>
          <w:sz w:val="20"/>
          <w:szCs w:val="20"/>
        </w:rPr>
      </w:pPr>
      <w:r w:rsidRPr="00EE0F8F">
        <w:rPr>
          <w:iCs/>
          <w:color w:val="auto"/>
          <w:sz w:val="20"/>
          <w:szCs w:val="20"/>
        </w:rPr>
        <w:t>[5]</w:t>
      </w:r>
      <w:r w:rsidRPr="00EE0F8F">
        <w:rPr>
          <w:iCs/>
          <w:color w:val="auto"/>
          <w:sz w:val="20"/>
          <w:szCs w:val="20"/>
        </w:rPr>
        <w:tab/>
      </w:r>
      <w:r w:rsidRPr="00EE0F8F">
        <w:rPr>
          <w:color w:val="auto"/>
          <w:sz w:val="20"/>
          <w:szCs w:val="20"/>
        </w:rPr>
        <w:t xml:space="preserve">Mann S, </w:t>
      </w:r>
      <w:r w:rsidRPr="00EE0F8F">
        <w:rPr>
          <w:i/>
          <w:color w:val="auto"/>
          <w:sz w:val="20"/>
          <w:szCs w:val="20"/>
        </w:rPr>
        <w:t>The Origins of Life</w:t>
      </w:r>
      <w:r>
        <w:rPr>
          <w:i/>
          <w:color w:val="auto"/>
          <w:sz w:val="20"/>
          <w:szCs w:val="20"/>
        </w:rPr>
        <w:t>:</w:t>
      </w:r>
      <w:r w:rsidRPr="00EE0F8F">
        <w:rPr>
          <w:i/>
          <w:color w:val="auto"/>
          <w:sz w:val="20"/>
          <w:szCs w:val="20"/>
        </w:rPr>
        <w:t xml:space="preserve"> Old Problems, New Chemistries</w:t>
      </w:r>
      <w:r w:rsidRPr="00EE0F8F">
        <w:rPr>
          <w:color w:val="auto"/>
          <w:sz w:val="20"/>
          <w:szCs w:val="20"/>
        </w:rPr>
        <w:t xml:space="preserve">. </w:t>
      </w:r>
      <w:proofErr w:type="spellStart"/>
      <w:r w:rsidRPr="00EE0F8F">
        <w:rPr>
          <w:color w:val="auto"/>
          <w:sz w:val="20"/>
          <w:szCs w:val="20"/>
          <w:lang w:val="en-US"/>
        </w:rPr>
        <w:t>Angew</w:t>
      </w:r>
      <w:proofErr w:type="spellEnd"/>
      <w:r w:rsidRPr="00EE0F8F">
        <w:rPr>
          <w:color w:val="auto"/>
          <w:sz w:val="20"/>
          <w:szCs w:val="20"/>
          <w:lang w:val="en-US"/>
        </w:rPr>
        <w:t xml:space="preserve">. </w:t>
      </w:r>
      <w:proofErr w:type="spellStart"/>
      <w:r w:rsidRPr="00EE0F8F">
        <w:rPr>
          <w:color w:val="auto"/>
          <w:sz w:val="20"/>
          <w:szCs w:val="20"/>
          <w:lang w:val="en-US"/>
        </w:rPr>
        <w:t>Chemie</w:t>
      </w:r>
      <w:proofErr w:type="spellEnd"/>
      <w:r w:rsidRPr="00EE0F8F">
        <w:rPr>
          <w:color w:val="auto"/>
          <w:sz w:val="20"/>
          <w:szCs w:val="20"/>
          <w:lang w:val="en-US"/>
        </w:rPr>
        <w:t xml:space="preserve">. Int. Ed. </w:t>
      </w:r>
      <w:r w:rsidRPr="00EE0F8F">
        <w:rPr>
          <w:b/>
          <w:color w:val="auto"/>
          <w:sz w:val="20"/>
          <w:szCs w:val="20"/>
          <w:lang w:val="en-US"/>
        </w:rPr>
        <w:t xml:space="preserve">52, </w:t>
      </w:r>
      <w:r w:rsidRPr="00EE0F8F">
        <w:rPr>
          <w:color w:val="auto"/>
          <w:sz w:val="20"/>
          <w:szCs w:val="20"/>
          <w:lang w:val="en-US"/>
        </w:rPr>
        <w:t>155-162 (2013).</w:t>
      </w:r>
    </w:p>
    <w:p w:rsidR="00EE0F8F" w:rsidRPr="005E4298" w:rsidRDefault="00EE0F8F" w:rsidP="00EE0F8F">
      <w:pPr>
        <w:pStyle w:val="calibri"/>
        <w:ind w:left="567" w:hanging="567"/>
        <w:rPr>
          <w:color w:val="auto"/>
          <w:sz w:val="20"/>
          <w:szCs w:val="20"/>
        </w:rPr>
      </w:pPr>
      <w:r w:rsidRPr="00EE0F8F">
        <w:rPr>
          <w:rFonts w:cs="AdvSCASF"/>
          <w:color w:val="auto"/>
          <w:sz w:val="20"/>
          <w:szCs w:val="20"/>
        </w:rPr>
        <w:t>[6]</w:t>
      </w:r>
      <w:r w:rsidRPr="00EE0F8F">
        <w:rPr>
          <w:rFonts w:cs="AdvSCASF"/>
          <w:color w:val="auto"/>
          <w:sz w:val="20"/>
          <w:szCs w:val="20"/>
        </w:rPr>
        <w:tab/>
      </w:r>
      <w:r w:rsidRPr="00EE0F8F">
        <w:rPr>
          <w:rFonts w:eastAsia="MS Mincho" w:cs="Times New Roman"/>
          <w:color w:val="auto"/>
          <w:sz w:val="20"/>
          <w:szCs w:val="20"/>
        </w:rPr>
        <w:t>Mann S</w:t>
      </w:r>
      <w:r w:rsidRPr="00EE0F8F">
        <w:rPr>
          <w:color w:val="auto"/>
          <w:sz w:val="20"/>
          <w:szCs w:val="20"/>
        </w:rPr>
        <w:t xml:space="preserve">, </w:t>
      </w:r>
      <w:r w:rsidRPr="00EE0F8F">
        <w:rPr>
          <w:rFonts w:eastAsia="MS Mincho" w:cs="Times New Roman"/>
          <w:i/>
          <w:color w:val="auto"/>
          <w:sz w:val="20"/>
          <w:szCs w:val="20"/>
        </w:rPr>
        <w:t>Systems of Creation: the Emergence of Life from Non-living Matter</w:t>
      </w:r>
      <w:r w:rsidRPr="00EE0F8F">
        <w:rPr>
          <w:rFonts w:eastAsia="MS Mincho" w:cs="Times New Roman"/>
          <w:color w:val="auto"/>
          <w:sz w:val="20"/>
          <w:szCs w:val="20"/>
        </w:rPr>
        <w:t>.</w:t>
      </w:r>
      <w:r w:rsidRPr="00EE0F8F">
        <w:rPr>
          <w:color w:val="auto"/>
          <w:sz w:val="20"/>
          <w:szCs w:val="20"/>
        </w:rPr>
        <w:t xml:space="preserve"> </w:t>
      </w:r>
      <w:r w:rsidRPr="00EE0F8F">
        <w:rPr>
          <w:rFonts w:eastAsia="MS Mincho" w:cs="Times New Roman"/>
          <w:color w:val="auto"/>
          <w:sz w:val="20"/>
          <w:szCs w:val="20"/>
        </w:rPr>
        <w:t>Acc. Chem. Res.</w:t>
      </w:r>
      <w:r w:rsidRPr="00EE0F8F">
        <w:rPr>
          <w:b/>
          <w:color w:val="auto"/>
          <w:sz w:val="20"/>
          <w:szCs w:val="20"/>
        </w:rPr>
        <w:t xml:space="preserve"> 45</w:t>
      </w:r>
      <w:r w:rsidRPr="005E4298">
        <w:rPr>
          <w:color w:val="auto"/>
          <w:sz w:val="20"/>
          <w:szCs w:val="20"/>
        </w:rPr>
        <w:t>, 2131-2141 (2012).</w:t>
      </w:r>
    </w:p>
    <w:p w:rsidR="00EE0F8F" w:rsidRPr="005E4298" w:rsidRDefault="00EE0F8F" w:rsidP="00EE0F8F">
      <w:pPr>
        <w:pStyle w:val="calibri"/>
        <w:ind w:left="567" w:hanging="567"/>
        <w:rPr>
          <w:rFonts w:eastAsia="MS Mincho" w:cs="Times New Roman"/>
          <w:color w:val="auto"/>
          <w:sz w:val="20"/>
          <w:szCs w:val="20"/>
        </w:rPr>
      </w:pPr>
      <w:r w:rsidRPr="005E4298">
        <w:rPr>
          <w:color w:val="auto"/>
          <w:sz w:val="20"/>
          <w:szCs w:val="20"/>
        </w:rPr>
        <w:t>[7]</w:t>
      </w:r>
      <w:r w:rsidRPr="005E4298">
        <w:rPr>
          <w:color w:val="auto"/>
          <w:sz w:val="20"/>
          <w:szCs w:val="20"/>
        </w:rPr>
        <w:tab/>
      </w:r>
      <w:proofErr w:type="spellStart"/>
      <w:r w:rsidRPr="005E4298">
        <w:rPr>
          <w:rFonts w:eastAsia="MS Mincho" w:cs="Times New Roman"/>
          <w:color w:val="auto"/>
          <w:sz w:val="20"/>
          <w:szCs w:val="20"/>
        </w:rPr>
        <w:t>Dzieciol</w:t>
      </w:r>
      <w:proofErr w:type="spellEnd"/>
      <w:r w:rsidRPr="005E4298">
        <w:rPr>
          <w:rFonts w:eastAsia="MS Mincho" w:cs="Times New Roman"/>
          <w:color w:val="auto"/>
          <w:sz w:val="20"/>
          <w:szCs w:val="20"/>
        </w:rPr>
        <w:t xml:space="preserve"> A J and Mann S</w:t>
      </w:r>
      <w:r w:rsidRPr="005E4298">
        <w:rPr>
          <w:color w:val="auto"/>
          <w:sz w:val="20"/>
          <w:szCs w:val="20"/>
        </w:rPr>
        <w:t xml:space="preserve">, </w:t>
      </w:r>
      <w:r w:rsidRPr="005E4298">
        <w:rPr>
          <w:rFonts w:eastAsia="MS Mincho" w:cs="Times New Roman"/>
          <w:i/>
          <w:color w:val="auto"/>
          <w:sz w:val="20"/>
          <w:szCs w:val="20"/>
        </w:rPr>
        <w:t xml:space="preserve">Designs for Life: </w:t>
      </w:r>
      <w:proofErr w:type="spellStart"/>
      <w:r w:rsidRPr="005E4298">
        <w:rPr>
          <w:rFonts w:eastAsia="MS Mincho" w:cs="Times New Roman"/>
          <w:i/>
          <w:color w:val="auto"/>
          <w:sz w:val="20"/>
          <w:szCs w:val="20"/>
        </w:rPr>
        <w:t>Protocell</w:t>
      </w:r>
      <w:proofErr w:type="spellEnd"/>
      <w:r w:rsidRPr="005E4298">
        <w:rPr>
          <w:rFonts w:eastAsia="MS Mincho" w:cs="Times New Roman"/>
          <w:i/>
          <w:color w:val="auto"/>
          <w:sz w:val="20"/>
          <w:szCs w:val="20"/>
        </w:rPr>
        <w:t xml:space="preserve"> Models in the Laboratory</w:t>
      </w:r>
      <w:r w:rsidRPr="005E4298">
        <w:rPr>
          <w:color w:val="auto"/>
          <w:sz w:val="20"/>
          <w:szCs w:val="20"/>
        </w:rPr>
        <w:t xml:space="preserve">, </w:t>
      </w:r>
      <w:r w:rsidRPr="005E4298">
        <w:rPr>
          <w:rFonts w:eastAsia="MS Mincho" w:cs="Times New Roman"/>
          <w:color w:val="auto"/>
          <w:sz w:val="20"/>
          <w:szCs w:val="20"/>
        </w:rPr>
        <w:t>Chem. Soc. Rev.</w:t>
      </w:r>
      <w:r w:rsidRPr="005E4298">
        <w:rPr>
          <w:rFonts w:eastAsia="MS Mincho" w:cs="Times New Roman"/>
          <w:i/>
          <w:color w:val="auto"/>
          <w:sz w:val="20"/>
          <w:szCs w:val="20"/>
        </w:rPr>
        <w:t xml:space="preserve"> </w:t>
      </w:r>
      <w:r w:rsidRPr="005E4298">
        <w:rPr>
          <w:rFonts w:eastAsia="MS Mincho" w:cs="Times New Roman"/>
          <w:b/>
          <w:color w:val="auto"/>
          <w:sz w:val="20"/>
          <w:szCs w:val="20"/>
        </w:rPr>
        <w:t>41</w:t>
      </w:r>
      <w:r w:rsidRPr="005E4298">
        <w:rPr>
          <w:rFonts w:eastAsia="MS Mincho" w:cs="Times New Roman"/>
          <w:color w:val="auto"/>
          <w:sz w:val="20"/>
          <w:szCs w:val="20"/>
        </w:rPr>
        <w:t>, 79-85 (2012).</w:t>
      </w:r>
    </w:p>
    <w:p w:rsidR="005E4298" w:rsidRPr="005E4298" w:rsidRDefault="005E4298" w:rsidP="005E4298">
      <w:pPr>
        <w:pStyle w:val="calibri"/>
        <w:ind w:left="567" w:hanging="567"/>
        <w:rPr>
          <w:rFonts w:eastAsia="MS Mincho"/>
          <w:color w:val="auto"/>
          <w:sz w:val="20"/>
          <w:szCs w:val="20"/>
        </w:rPr>
      </w:pPr>
      <w:r w:rsidRPr="005E4298">
        <w:rPr>
          <w:rFonts w:eastAsia="MS Mincho" w:cs="Times New Roman"/>
          <w:color w:val="auto"/>
          <w:sz w:val="20"/>
          <w:szCs w:val="20"/>
        </w:rPr>
        <w:t>[8]</w:t>
      </w:r>
      <w:r>
        <w:rPr>
          <w:rFonts w:eastAsia="MS Mincho" w:cs="Times New Roman"/>
          <w:color w:val="auto"/>
          <w:sz w:val="20"/>
          <w:szCs w:val="20"/>
        </w:rPr>
        <w:tab/>
      </w:r>
      <w:r w:rsidRPr="005E4298">
        <w:rPr>
          <w:rFonts w:eastAsia="MS Mincho"/>
          <w:color w:val="auto"/>
          <w:sz w:val="20"/>
          <w:szCs w:val="20"/>
        </w:rPr>
        <w:t>Li M, Huang X, Tang T-Y D and Mann S.</w:t>
      </w:r>
      <w:r>
        <w:rPr>
          <w:rFonts w:eastAsia="MS Mincho"/>
          <w:color w:val="auto"/>
          <w:sz w:val="20"/>
          <w:szCs w:val="20"/>
        </w:rPr>
        <w:t xml:space="preserve"> </w:t>
      </w:r>
      <w:r w:rsidRPr="005E4298">
        <w:rPr>
          <w:rFonts w:eastAsia="MS Mincho"/>
          <w:i/>
          <w:color w:val="auto"/>
          <w:sz w:val="20"/>
          <w:szCs w:val="20"/>
        </w:rPr>
        <w:t xml:space="preserve">Synthetic Cellularity based on Non-lipid Micro-compartments and </w:t>
      </w:r>
      <w:proofErr w:type="spellStart"/>
      <w:r w:rsidRPr="005E4298">
        <w:rPr>
          <w:rFonts w:eastAsia="MS Mincho"/>
          <w:i/>
          <w:color w:val="auto"/>
          <w:sz w:val="20"/>
          <w:szCs w:val="20"/>
        </w:rPr>
        <w:t>Protocell</w:t>
      </w:r>
      <w:proofErr w:type="spellEnd"/>
      <w:r w:rsidRPr="005E4298">
        <w:rPr>
          <w:rFonts w:eastAsia="MS Mincho"/>
          <w:i/>
          <w:color w:val="auto"/>
          <w:sz w:val="20"/>
          <w:szCs w:val="20"/>
        </w:rPr>
        <w:t xml:space="preserve"> Models</w:t>
      </w:r>
      <w:r>
        <w:rPr>
          <w:rFonts w:eastAsia="MS Mincho"/>
          <w:i/>
          <w:color w:val="auto"/>
          <w:sz w:val="20"/>
          <w:szCs w:val="20"/>
        </w:rPr>
        <w:t>.</w:t>
      </w:r>
      <w:r w:rsidRPr="005E4298">
        <w:rPr>
          <w:rFonts w:eastAsia="MS Mincho"/>
          <w:i/>
          <w:color w:val="auto"/>
          <w:sz w:val="20"/>
          <w:szCs w:val="20"/>
        </w:rPr>
        <w:tab/>
      </w:r>
      <w:proofErr w:type="spellStart"/>
      <w:r w:rsidRPr="005E4298">
        <w:rPr>
          <w:rFonts w:eastAsia="MS Mincho"/>
          <w:color w:val="auto"/>
          <w:sz w:val="20"/>
          <w:szCs w:val="20"/>
        </w:rPr>
        <w:t>Curr</w:t>
      </w:r>
      <w:proofErr w:type="spellEnd"/>
      <w:r w:rsidRPr="005E4298">
        <w:rPr>
          <w:rFonts w:eastAsia="MS Mincho"/>
          <w:color w:val="auto"/>
          <w:sz w:val="20"/>
          <w:szCs w:val="20"/>
        </w:rPr>
        <w:t xml:space="preserve">. </w:t>
      </w:r>
      <w:proofErr w:type="spellStart"/>
      <w:r w:rsidRPr="005E4298">
        <w:rPr>
          <w:rFonts w:eastAsia="MS Mincho"/>
          <w:color w:val="auto"/>
          <w:sz w:val="20"/>
          <w:szCs w:val="20"/>
        </w:rPr>
        <w:t>Opin</w:t>
      </w:r>
      <w:proofErr w:type="spellEnd"/>
      <w:r w:rsidRPr="005E4298">
        <w:rPr>
          <w:rFonts w:eastAsia="MS Mincho"/>
          <w:color w:val="auto"/>
          <w:sz w:val="20"/>
          <w:szCs w:val="20"/>
        </w:rPr>
        <w:t>. Chem. Biology</w:t>
      </w:r>
      <w:r w:rsidRPr="005E4298">
        <w:rPr>
          <w:rFonts w:eastAsia="MS Mincho"/>
          <w:i/>
          <w:color w:val="auto"/>
          <w:sz w:val="20"/>
          <w:szCs w:val="20"/>
        </w:rPr>
        <w:t xml:space="preserve"> </w:t>
      </w:r>
      <w:r w:rsidRPr="005E4298">
        <w:rPr>
          <w:rFonts w:eastAsia="MS Mincho"/>
          <w:b/>
          <w:color w:val="auto"/>
          <w:sz w:val="20"/>
          <w:szCs w:val="20"/>
        </w:rPr>
        <w:t>22</w:t>
      </w:r>
      <w:r w:rsidRPr="005E4298">
        <w:rPr>
          <w:rFonts w:eastAsia="MS Mincho"/>
          <w:color w:val="auto"/>
          <w:sz w:val="20"/>
          <w:szCs w:val="20"/>
        </w:rPr>
        <w:t xml:space="preserve">, 1-11 (2014). </w:t>
      </w:r>
    </w:p>
    <w:p w:rsidR="005E4298" w:rsidRPr="005E4298" w:rsidRDefault="005E4298" w:rsidP="00EE0F8F">
      <w:pPr>
        <w:pStyle w:val="calibri"/>
        <w:ind w:left="567" w:hanging="567"/>
        <w:rPr>
          <w:color w:val="auto"/>
          <w:sz w:val="20"/>
          <w:szCs w:val="20"/>
          <w:vertAlign w:val="superscript"/>
        </w:rPr>
      </w:pPr>
    </w:p>
    <w:p w:rsidR="00EE0F8F" w:rsidRPr="00EE0F8F" w:rsidRDefault="00EE0F8F" w:rsidP="00293802">
      <w:pPr>
        <w:pStyle w:val="calibri"/>
        <w:ind w:left="567" w:hanging="567"/>
        <w:rPr>
          <w:i/>
          <w:color w:val="auto"/>
          <w:sz w:val="20"/>
          <w:szCs w:val="20"/>
        </w:rPr>
      </w:pPr>
    </w:p>
    <w:p w:rsidR="00293802" w:rsidRPr="00EE0F8F" w:rsidRDefault="00293802" w:rsidP="00293802">
      <w:pPr>
        <w:ind w:left="567" w:hanging="567"/>
        <w:rPr>
          <w:rFonts w:asciiTheme="majorHAnsi" w:hAnsiTheme="majorHAnsi"/>
        </w:rPr>
      </w:pPr>
    </w:p>
    <w:p w:rsidR="00293802" w:rsidRPr="008C6DC0" w:rsidRDefault="00293802" w:rsidP="00293802">
      <w:pPr>
        <w:ind w:left="567" w:hanging="567"/>
        <w:rPr>
          <w:rFonts w:asciiTheme="majorHAnsi" w:hAnsiTheme="majorHAnsi"/>
        </w:rPr>
      </w:pPr>
    </w:p>
    <w:p w:rsidR="00293802" w:rsidRPr="007F4CD7" w:rsidRDefault="00293802" w:rsidP="00293802">
      <w:pPr>
        <w:rPr>
          <w:sz w:val="24"/>
          <w:szCs w:val="24"/>
        </w:rPr>
      </w:pPr>
    </w:p>
    <w:p w:rsidR="000D216F" w:rsidRDefault="000D216F"/>
    <w:sectPr w:rsidR="000D216F" w:rsidSect="006C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SCASF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02"/>
    <w:rsid w:val="000D216F"/>
    <w:rsid w:val="001460D0"/>
    <w:rsid w:val="00152029"/>
    <w:rsid w:val="00293802"/>
    <w:rsid w:val="004C3CDB"/>
    <w:rsid w:val="005319A8"/>
    <w:rsid w:val="005D4427"/>
    <w:rsid w:val="005E4298"/>
    <w:rsid w:val="006C0CDB"/>
    <w:rsid w:val="00941542"/>
    <w:rsid w:val="00B64FA3"/>
    <w:rsid w:val="00B67651"/>
    <w:rsid w:val="00BE7DFE"/>
    <w:rsid w:val="00EE0F8F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80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5319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1"/>
    <w:qFormat/>
    <w:rsid w:val="005319A8"/>
    <w:pPr>
      <w:spacing w:line="240" w:lineRule="auto"/>
      <w:jc w:val="both"/>
    </w:pPr>
    <w:rPr>
      <w:b w:val="0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531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paragraph" w:customStyle="1" w:styleId="calibri">
    <w:name w:val="calibri"/>
    <w:qFormat/>
    <w:rsid w:val="005319A8"/>
    <w:pPr>
      <w:jc w:val="both"/>
    </w:pPr>
    <w:rPr>
      <w:rFonts w:asciiTheme="majorHAnsi" w:eastAsiaTheme="majorEastAsia" w:hAnsiTheme="majorHAnsi" w:cstheme="majorBidi"/>
      <w:bCs/>
      <w:color w:val="345A8A" w:themeColor="accent1" w:themeShade="B5"/>
      <w:szCs w:val="32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CDB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CDB"/>
    <w:rPr>
      <w:rFonts w:ascii="Lucida Grande" w:eastAsia="Times New Roman" w:hAnsi="Lucida Grande" w:cs="Lucida Grande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80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5319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1"/>
    <w:qFormat/>
    <w:rsid w:val="005319A8"/>
    <w:pPr>
      <w:spacing w:line="240" w:lineRule="auto"/>
      <w:jc w:val="both"/>
    </w:pPr>
    <w:rPr>
      <w:b w:val="0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531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paragraph" w:customStyle="1" w:styleId="calibri">
    <w:name w:val="calibri"/>
    <w:qFormat/>
    <w:rsid w:val="005319A8"/>
    <w:pPr>
      <w:jc w:val="both"/>
    </w:pPr>
    <w:rPr>
      <w:rFonts w:asciiTheme="majorHAnsi" w:eastAsiaTheme="majorEastAsia" w:hAnsiTheme="majorHAnsi" w:cstheme="majorBidi"/>
      <w:bCs/>
      <w:color w:val="345A8A" w:themeColor="accent1" w:themeShade="B5"/>
      <w:szCs w:val="32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CDB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CDB"/>
    <w:rPr>
      <w:rFonts w:ascii="Lucida Grande" w:eastAsia="Times New Roman" w:hAnsi="Lucida Grande" w:cs="Lucida Grande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Mann</dc:creator>
  <cp:lastModifiedBy>hjudit</cp:lastModifiedBy>
  <cp:revision>2</cp:revision>
  <cp:lastPrinted>2015-02-26T13:54:00Z</cp:lastPrinted>
  <dcterms:created xsi:type="dcterms:W3CDTF">2015-02-26T14:38:00Z</dcterms:created>
  <dcterms:modified xsi:type="dcterms:W3CDTF">2015-02-26T14:38:00Z</dcterms:modified>
</cp:coreProperties>
</file>