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4FB7E" w14:textId="77777777" w:rsidR="00F5421B" w:rsidRDefault="00F5421B" w:rsidP="002B12E2">
      <w:pPr>
        <w:jc w:val="center"/>
        <w:rPr>
          <w:rFonts w:ascii="Times New Roman" w:hAnsi="Times New Roman" w:cs="Times New Roman"/>
          <w:b/>
          <w:bCs/>
          <w:sz w:val="28"/>
          <w:szCs w:val="28"/>
        </w:rPr>
      </w:pPr>
      <w:bookmarkStart w:id="0" w:name="_GoBack"/>
      <w:bookmarkEnd w:id="0"/>
      <w:r w:rsidRPr="00F5421B">
        <w:rPr>
          <w:rFonts w:ascii="Times New Roman" w:hAnsi="Times New Roman" w:cs="Times New Roman"/>
          <w:b/>
          <w:bCs/>
          <w:sz w:val="28"/>
          <w:szCs w:val="28"/>
        </w:rPr>
        <w:t>Szinergia  összegző</w:t>
      </w:r>
      <w:r w:rsidR="008A4BE4">
        <w:rPr>
          <w:rFonts w:ascii="Times New Roman" w:hAnsi="Times New Roman" w:cs="Times New Roman"/>
          <w:b/>
          <w:bCs/>
          <w:sz w:val="28"/>
          <w:szCs w:val="28"/>
        </w:rPr>
        <w:t xml:space="preserve"> űrlap</w:t>
      </w:r>
    </w:p>
    <w:p w14:paraId="6E6B052B" w14:textId="77777777" w:rsidR="001A4863" w:rsidRDefault="001A4863" w:rsidP="00D412D8">
      <w:pPr>
        <w:ind w:left="284"/>
        <w:jc w:val="center"/>
        <w:rPr>
          <w:rFonts w:ascii="Times New Roman" w:hAnsi="Times New Roman" w:cs="Times New Roman"/>
          <w:b/>
          <w:bCs/>
          <w:sz w:val="28"/>
          <w:szCs w:val="28"/>
        </w:rPr>
      </w:pPr>
      <w:r>
        <w:rPr>
          <w:rFonts w:ascii="Times New Roman" w:hAnsi="Times New Roman" w:cs="Times New Roman"/>
          <w:b/>
          <w:bCs/>
          <w:sz w:val="28"/>
          <w:szCs w:val="28"/>
        </w:rPr>
        <w:t>Daganatos megbetegedésekben jelentős szerepet játszó r</w:t>
      </w:r>
      <w:r w:rsidRPr="00BF7FAB">
        <w:rPr>
          <w:rFonts w:ascii="Times New Roman" w:hAnsi="Times New Roman" w:cs="Times New Roman"/>
          <w:b/>
          <w:bCs/>
          <w:sz w:val="28"/>
          <w:szCs w:val="28"/>
        </w:rPr>
        <w:t xml:space="preserve">endezetlen fehérjék </w:t>
      </w:r>
      <w:r>
        <w:rPr>
          <w:rFonts w:ascii="Times New Roman" w:hAnsi="Times New Roman" w:cs="Times New Roman"/>
          <w:b/>
          <w:bCs/>
          <w:sz w:val="28"/>
          <w:szCs w:val="28"/>
        </w:rPr>
        <w:t xml:space="preserve">új </w:t>
      </w:r>
      <w:r w:rsidRPr="00BF7FAB">
        <w:rPr>
          <w:rFonts w:ascii="Times New Roman" w:hAnsi="Times New Roman" w:cs="Times New Roman"/>
          <w:b/>
          <w:bCs/>
          <w:sz w:val="28"/>
          <w:szCs w:val="28"/>
        </w:rPr>
        <w:t>tisztítás</w:t>
      </w:r>
      <w:r>
        <w:rPr>
          <w:rFonts w:ascii="Times New Roman" w:hAnsi="Times New Roman" w:cs="Times New Roman"/>
          <w:b/>
          <w:bCs/>
          <w:sz w:val="28"/>
          <w:szCs w:val="28"/>
        </w:rPr>
        <w:t>i módszereinek kidolgozása</w:t>
      </w:r>
      <w:r w:rsidRPr="00BF7FAB">
        <w:rPr>
          <w:rFonts w:ascii="Times New Roman" w:hAnsi="Times New Roman" w:cs="Times New Roman"/>
          <w:b/>
          <w:bCs/>
          <w:sz w:val="28"/>
          <w:szCs w:val="28"/>
        </w:rPr>
        <w:t xml:space="preserve"> </w:t>
      </w:r>
    </w:p>
    <w:p w14:paraId="1AB23C75" w14:textId="77777777" w:rsidR="001A4863" w:rsidRPr="00B72660" w:rsidRDefault="001A4863" w:rsidP="001A4863">
      <w:pPr>
        <w:jc w:val="center"/>
        <w:rPr>
          <w:rFonts w:ascii="Times New Roman" w:hAnsi="Times New Roman" w:cs="Times New Roman"/>
          <w:b/>
          <w:bCs/>
          <w:sz w:val="36"/>
          <w:szCs w:val="36"/>
        </w:rPr>
      </w:pPr>
      <w:r w:rsidRPr="00B72660">
        <w:rPr>
          <w:rFonts w:ascii="Times New Roman" w:hAnsi="Times New Roman" w:cs="Times New Roman"/>
          <w:b/>
          <w:bCs/>
          <w:sz w:val="36"/>
          <w:szCs w:val="36"/>
        </w:rPr>
        <w:t>(DisProPur)</w:t>
      </w:r>
    </w:p>
    <w:p w14:paraId="44326294" w14:textId="77777777" w:rsidR="001A4863" w:rsidRPr="00F64C1E" w:rsidRDefault="001A4863" w:rsidP="001A4863">
      <w:pPr>
        <w:pStyle w:val="Listaszerbekezds"/>
        <w:ind w:left="426"/>
        <w:rPr>
          <w:rFonts w:ascii="Times New Roman" w:hAnsi="Times New Roman" w:cs="Times New Roman"/>
          <w:b/>
          <w:sz w:val="28"/>
          <w:szCs w:val="28"/>
        </w:rPr>
      </w:pPr>
      <w:r w:rsidRPr="00F64C1E">
        <w:rPr>
          <w:rFonts w:ascii="Times New Roman" w:hAnsi="Times New Roman" w:cs="Times New Roman"/>
          <w:b/>
          <w:sz w:val="28"/>
          <w:szCs w:val="28"/>
        </w:rPr>
        <w:t xml:space="preserve">Együttműködő partnerek </w:t>
      </w:r>
    </w:p>
    <w:p w14:paraId="5BFC9444" w14:textId="77777777" w:rsidR="001A4863" w:rsidRDefault="001A4863" w:rsidP="001A4863">
      <w:pPr>
        <w:spacing w:after="0"/>
        <w:ind w:left="425"/>
        <w:rPr>
          <w:rFonts w:ascii="Times New Roman" w:hAnsi="Times New Roman" w:cs="Times New Roman"/>
          <w:b/>
          <w:color w:val="000000" w:themeColor="text1"/>
          <w:sz w:val="24"/>
          <w:szCs w:val="24"/>
        </w:rPr>
      </w:pPr>
    </w:p>
    <w:p w14:paraId="03D0E001" w14:textId="77777777" w:rsidR="001A4863" w:rsidRDefault="001A4863" w:rsidP="001A4863">
      <w:pPr>
        <w:spacing w:after="0"/>
        <w:ind w:left="425"/>
        <w:rPr>
          <w:rFonts w:ascii="Times New Roman" w:hAnsi="Times New Roman" w:cs="Times New Roman"/>
          <w:color w:val="000000" w:themeColor="text1"/>
          <w:sz w:val="24"/>
          <w:szCs w:val="24"/>
        </w:rPr>
      </w:pPr>
      <w:r w:rsidRPr="009B3392">
        <w:rPr>
          <w:rFonts w:ascii="Times New Roman" w:hAnsi="Times New Roman" w:cs="Times New Roman"/>
          <w:b/>
          <w:color w:val="000000" w:themeColor="text1"/>
          <w:sz w:val="24"/>
          <w:szCs w:val="24"/>
        </w:rPr>
        <w:t>Dr. Poppe László</w:t>
      </w:r>
      <w:r w:rsidRPr="00A75FB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75FB6">
        <w:rPr>
          <w:rFonts w:ascii="Times New Roman" w:hAnsi="Times New Roman" w:cs="Times New Roman"/>
          <w:color w:val="000000" w:themeColor="text1"/>
          <w:sz w:val="24"/>
          <w:szCs w:val="24"/>
        </w:rPr>
        <w:t>MTA Doktora,</w:t>
      </w:r>
      <w:r>
        <w:rPr>
          <w:rFonts w:ascii="Times New Roman" w:hAnsi="Times New Roman" w:cs="Times New Roman"/>
          <w:color w:val="000000" w:themeColor="text1"/>
          <w:sz w:val="24"/>
          <w:szCs w:val="24"/>
        </w:rPr>
        <w:t xml:space="preserve"> </w:t>
      </w:r>
      <w:r w:rsidRPr="00A75FB6">
        <w:rPr>
          <w:rFonts w:ascii="Times New Roman" w:hAnsi="Times New Roman" w:cs="Times New Roman"/>
          <w:color w:val="000000" w:themeColor="text1"/>
          <w:sz w:val="24"/>
          <w:szCs w:val="24"/>
        </w:rPr>
        <w:t>egyetemi tanár</w:t>
      </w:r>
    </w:p>
    <w:p w14:paraId="7F2E3E08" w14:textId="77777777" w:rsidR="001A4863" w:rsidRPr="00A75FB6" w:rsidRDefault="001A4863" w:rsidP="001A4863">
      <w:pPr>
        <w:spacing w:after="0"/>
        <w:ind w:left="425"/>
        <w:rPr>
          <w:rFonts w:ascii="Times New Roman" w:hAnsi="Times New Roman" w:cs="Times New Roman"/>
          <w:color w:val="000000" w:themeColor="text1"/>
          <w:sz w:val="24"/>
          <w:szCs w:val="24"/>
        </w:rPr>
      </w:pPr>
    </w:p>
    <w:p w14:paraId="2C0EB789" w14:textId="77777777" w:rsidR="001A4863" w:rsidRPr="00A75FB6" w:rsidRDefault="001A4863" w:rsidP="001A4863">
      <w:pPr>
        <w:spacing w:after="0"/>
        <w:ind w:left="425"/>
        <w:rPr>
          <w:rFonts w:ascii="Times New Roman" w:hAnsi="Times New Roman" w:cs="Times New Roman"/>
          <w:color w:val="000000" w:themeColor="text1"/>
          <w:sz w:val="24"/>
          <w:szCs w:val="24"/>
        </w:rPr>
      </w:pPr>
      <w:r w:rsidRPr="00A75FB6">
        <w:rPr>
          <w:rFonts w:ascii="Times New Roman" w:hAnsi="Times New Roman" w:cs="Times New Roman"/>
          <w:color w:val="000000" w:themeColor="text1"/>
          <w:sz w:val="24"/>
          <w:szCs w:val="24"/>
        </w:rPr>
        <w:t>BME Szerves Kémia és Technológia Tanszék,</w:t>
      </w:r>
    </w:p>
    <w:p w14:paraId="4BA3DBB6" w14:textId="77777777" w:rsidR="001A4863" w:rsidRDefault="001A4863" w:rsidP="001A4863">
      <w:pPr>
        <w:spacing w:after="0"/>
        <w:ind w:left="425"/>
        <w:rPr>
          <w:rFonts w:ascii="Times New Roman" w:hAnsi="Times New Roman" w:cs="Times New Roman"/>
          <w:color w:val="000000" w:themeColor="text1"/>
          <w:sz w:val="24"/>
          <w:szCs w:val="24"/>
        </w:rPr>
      </w:pPr>
      <w:r w:rsidRPr="00A75FB6">
        <w:rPr>
          <w:rFonts w:ascii="Times New Roman" w:hAnsi="Times New Roman" w:cs="Times New Roman"/>
          <w:color w:val="000000" w:themeColor="text1"/>
          <w:sz w:val="24"/>
          <w:szCs w:val="24"/>
        </w:rPr>
        <w:t>BioOrganikus Kémia Kutatócsoport vezetője</w:t>
      </w:r>
    </w:p>
    <w:p w14:paraId="68309FE5" w14:textId="77777777" w:rsidR="001A4863" w:rsidRDefault="001A4863" w:rsidP="001A4863">
      <w:pPr>
        <w:spacing w:after="0"/>
        <w:ind w:left="425"/>
        <w:rPr>
          <w:rFonts w:ascii="Times New Roman" w:hAnsi="Times New Roman" w:cs="Times New Roman"/>
          <w:color w:val="000000" w:themeColor="text1"/>
          <w:sz w:val="24"/>
          <w:szCs w:val="24"/>
        </w:rPr>
      </w:pPr>
    </w:p>
    <w:tbl>
      <w:tblPr>
        <w:tblStyle w:val="Rcsostblzat"/>
        <w:tblW w:w="0" w:type="auto"/>
        <w:tblInd w:w="392" w:type="dxa"/>
        <w:tblLook w:val="01E0" w:firstRow="1" w:lastRow="1" w:firstColumn="1" w:lastColumn="1" w:noHBand="0" w:noVBand="0"/>
      </w:tblPr>
      <w:tblGrid>
        <w:gridCol w:w="2488"/>
        <w:gridCol w:w="6408"/>
      </w:tblGrid>
      <w:tr w:rsidR="001A4863" w14:paraId="4011DFAD" w14:textId="77777777" w:rsidTr="005B4147">
        <w:tc>
          <w:tcPr>
            <w:tcW w:w="2488" w:type="dxa"/>
            <w:tcBorders>
              <w:top w:val="nil"/>
              <w:left w:val="nil"/>
              <w:bottom w:val="nil"/>
              <w:right w:val="nil"/>
            </w:tcBorders>
          </w:tcPr>
          <w:p w14:paraId="2C72F8AC" w14:textId="77777777" w:rsidR="001A4863" w:rsidRDefault="001A4863" w:rsidP="005B4147">
            <w:pPr>
              <w:spacing w:before="100" w:beforeAutospacing="1" w:after="100" w:afterAutospacing="1"/>
              <w:rPr>
                <w:b/>
                <w:color w:val="000000"/>
              </w:rPr>
            </w:pPr>
            <w:r w:rsidRPr="002456D1">
              <w:rPr>
                <w:b/>
                <w:noProof/>
                <w:color w:val="000000"/>
                <w:lang w:val="en-US"/>
              </w:rPr>
              <w:drawing>
                <wp:inline distT="0" distB="0" distL="0" distR="0" wp14:anchorId="15EE9937" wp14:editId="7D789D88">
                  <wp:extent cx="1343025" cy="1428750"/>
                  <wp:effectExtent l="0" t="0" r="9525" b="0"/>
                  <wp:docPr id="1" name="Picture 1" descr="Poppe_Laszl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pe_Laszlo-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428750"/>
                          </a:xfrm>
                          <a:prstGeom prst="rect">
                            <a:avLst/>
                          </a:prstGeom>
                          <a:noFill/>
                          <a:ln>
                            <a:noFill/>
                          </a:ln>
                        </pic:spPr>
                      </pic:pic>
                    </a:graphicData>
                  </a:graphic>
                </wp:inline>
              </w:drawing>
            </w:r>
          </w:p>
        </w:tc>
        <w:tc>
          <w:tcPr>
            <w:tcW w:w="6408" w:type="dxa"/>
            <w:tcBorders>
              <w:top w:val="nil"/>
              <w:left w:val="nil"/>
              <w:bottom w:val="nil"/>
              <w:right w:val="nil"/>
            </w:tcBorders>
          </w:tcPr>
          <w:p w14:paraId="51BAA837" w14:textId="77777777" w:rsidR="001A4863" w:rsidRPr="00041489" w:rsidRDefault="001A4863" w:rsidP="005B4147">
            <w:pPr>
              <w:ind w:left="1452" w:hanging="1276"/>
              <w:rPr>
                <w:rFonts w:ascii="Arial" w:hAnsi="Arial" w:cs="Arial"/>
                <w:iCs/>
                <w:sz w:val="18"/>
                <w:szCs w:val="18"/>
                <w:lang w:val="pt-BR"/>
              </w:rPr>
            </w:pPr>
            <w:r w:rsidRPr="00041489">
              <w:rPr>
                <w:rFonts w:ascii="Arial" w:hAnsi="Arial" w:cs="Arial"/>
                <w:b/>
                <w:bCs/>
                <w:iCs/>
                <w:sz w:val="18"/>
                <w:szCs w:val="18"/>
                <w:lang w:val="pt-BR"/>
              </w:rPr>
              <w:t>Iroda, Labor:</w:t>
            </w:r>
            <w:r w:rsidRPr="00041489">
              <w:rPr>
                <w:rFonts w:ascii="Arial" w:hAnsi="Arial" w:cs="Arial"/>
                <w:iCs/>
                <w:sz w:val="18"/>
                <w:szCs w:val="18"/>
                <w:lang w:val="pt-BR"/>
              </w:rPr>
              <w:t xml:space="preserve"> </w:t>
            </w:r>
            <w:r w:rsidRPr="00041489">
              <w:rPr>
                <w:rFonts w:ascii="Arial" w:hAnsi="Arial" w:cs="Arial"/>
                <w:iCs/>
                <w:sz w:val="18"/>
                <w:szCs w:val="18"/>
                <w:lang w:val="pt-BR"/>
              </w:rPr>
              <w:tab/>
              <w:t>Ch. ép. I</w:t>
            </w:r>
            <w:r>
              <w:rPr>
                <w:rFonts w:ascii="Arial" w:hAnsi="Arial" w:cs="Arial"/>
                <w:iCs/>
                <w:sz w:val="18"/>
                <w:szCs w:val="18"/>
                <w:lang w:val="pt-BR"/>
              </w:rPr>
              <w:t>I</w:t>
            </w:r>
            <w:r w:rsidRPr="00041489">
              <w:rPr>
                <w:rFonts w:ascii="Arial" w:hAnsi="Arial" w:cs="Arial"/>
                <w:iCs/>
                <w:sz w:val="18"/>
                <w:szCs w:val="18"/>
                <w:lang w:val="pt-BR"/>
              </w:rPr>
              <w:t xml:space="preserve">. em. </w:t>
            </w:r>
            <w:r>
              <w:rPr>
                <w:rFonts w:ascii="Arial" w:hAnsi="Arial" w:cs="Arial"/>
                <w:iCs/>
                <w:sz w:val="18"/>
                <w:szCs w:val="18"/>
                <w:lang w:val="pt-BR"/>
              </w:rPr>
              <w:t>215.</w:t>
            </w:r>
            <w:r w:rsidRPr="00041489">
              <w:rPr>
                <w:rFonts w:ascii="Arial" w:hAnsi="Arial" w:cs="Arial"/>
                <w:iCs/>
                <w:sz w:val="18"/>
                <w:szCs w:val="18"/>
                <w:lang w:val="pt-BR"/>
              </w:rPr>
              <w:t xml:space="preserve"> </w:t>
            </w:r>
          </w:p>
          <w:p w14:paraId="00D415A2" w14:textId="77777777" w:rsidR="001A4863" w:rsidRPr="00041489" w:rsidRDefault="001A4863" w:rsidP="005B4147">
            <w:pPr>
              <w:ind w:left="1452" w:hanging="1276"/>
              <w:rPr>
                <w:rFonts w:ascii="Arial" w:hAnsi="Arial" w:cs="Arial"/>
                <w:iCs/>
                <w:sz w:val="18"/>
                <w:szCs w:val="18"/>
                <w:lang w:val="pt-BR"/>
              </w:rPr>
            </w:pPr>
          </w:p>
          <w:p w14:paraId="634E9E8C" w14:textId="77777777" w:rsidR="001A4863" w:rsidRDefault="001A4863" w:rsidP="005B4147">
            <w:pPr>
              <w:ind w:left="1452" w:hanging="1276"/>
              <w:rPr>
                <w:rFonts w:ascii="Arial" w:hAnsi="Arial" w:cs="Arial"/>
                <w:iCs/>
                <w:sz w:val="18"/>
                <w:szCs w:val="18"/>
              </w:rPr>
            </w:pPr>
            <w:r w:rsidRPr="00041489">
              <w:rPr>
                <w:rFonts w:ascii="Arial" w:hAnsi="Arial" w:cs="Arial"/>
                <w:b/>
                <w:bCs/>
                <w:iCs/>
                <w:sz w:val="18"/>
                <w:szCs w:val="18"/>
                <w:lang w:val="pt-BR"/>
              </w:rPr>
              <w:t>Levélcim:</w:t>
            </w:r>
            <w:r w:rsidRPr="00041489">
              <w:rPr>
                <w:rFonts w:ascii="Arial" w:hAnsi="Arial" w:cs="Arial"/>
                <w:iCs/>
                <w:sz w:val="18"/>
                <w:szCs w:val="18"/>
                <w:lang w:val="pt-BR"/>
              </w:rPr>
              <w:t xml:space="preserve"> </w:t>
            </w:r>
            <w:r w:rsidRPr="00041489">
              <w:rPr>
                <w:rFonts w:ascii="Arial" w:hAnsi="Arial" w:cs="Arial"/>
                <w:iCs/>
                <w:sz w:val="18"/>
                <w:szCs w:val="18"/>
                <w:lang w:val="pt-BR"/>
              </w:rPr>
              <w:tab/>
              <w:t>Budapesti Müszaki Egyetem Szerves Kémia és Technológia Tanszék; H-1111</w:t>
            </w:r>
            <w:r>
              <w:rPr>
                <w:rFonts w:ascii="Arial" w:hAnsi="Arial" w:cs="Arial"/>
                <w:iCs/>
                <w:sz w:val="18"/>
                <w:szCs w:val="18"/>
                <w:lang w:val="pt-BR"/>
              </w:rPr>
              <w:t xml:space="preserve"> Budapest, Szent Gellért tér 4.</w:t>
            </w:r>
            <w:r w:rsidRPr="005A6ACB">
              <w:rPr>
                <w:rFonts w:ascii="Arial" w:hAnsi="Arial" w:cs="Arial"/>
                <w:iCs/>
                <w:sz w:val="18"/>
                <w:szCs w:val="18"/>
              </w:rPr>
              <w:t xml:space="preserve"> </w:t>
            </w:r>
          </w:p>
          <w:p w14:paraId="5A2551A0" w14:textId="77777777" w:rsidR="001A4863" w:rsidRDefault="001A4863" w:rsidP="005B4147">
            <w:pPr>
              <w:ind w:left="1452" w:hanging="1276"/>
              <w:rPr>
                <w:rFonts w:ascii="Arial" w:hAnsi="Arial" w:cs="Arial"/>
                <w:b/>
                <w:bCs/>
                <w:iCs/>
                <w:sz w:val="18"/>
                <w:szCs w:val="18"/>
              </w:rPr>
            </w:pPr>
          </w:p>
          <w:p w14:paraId="64B95A96" w14:textId="77777777" w:rsidR="001A4863" w:rsidRDefault="001A4863" w:rsidP="005B4147">
            <w:pPr>
              <w:ind w:left="1452" w:hanging="1276"/>
              <w:rPr>
                <w:rFonts w:ascii="Arial" w:hAnsi="Arial" w:cs="Arial"/>
                <w:iCs/>
                <w:sz w:val="18"/>
                <w:szCs w:val="18"/>
              </w:rPr>
            </w:pPr>
            <w:r w:rsidRPr="005A6ACB">
              <w:rPr>
                <w:rFonts w:ascii="Arial" w:hAnsi="Arial" w:cs="Arial"/>
                <w:b/>
                <w:bCs/>
                <w:iCs/>
                <w:sz w:val="18"/>
                <w:szCs w:val="18"/>
              </w:rPr>
              <w:t>Telefon:</w:t>
            </w:r>
            <w:r w:rsidRPr="005A6ACB">
              <w:rPr>
                <w:rFonts w:ascii="Arial" w:hAnsi="Arial" w:cs="Arial"/>
                <w:iCs/>
                <w:sz w:val="18"/>
                <w:szCs w:val="18"/>
              </w:rPr>
              <w:t xml:space="preserve"> </w:t>
            </w:r>
            <w:r w:rsidRPr="005A6ACB">
              <w:rPr>
                <w:rFonts w:ascii="Arial" w:hAnsi="Arial" w:cs="Arial"/>
                <w:iCs/>
                <w:sz w:val="18"/>
                <w:szCs w:val="18"/>
              </w:rPr>
              <w:tab/>
            </w:r>
            <w:r>
              <w:rPr>
                <w:rFonts w:ascii="Arial" w:hAnsi="Arial" w:cs="Arial"/>
                <w:iCs/>
                <w:sz w:val="18"/>
                <w:szCs w:val="18"/>
              </w:rPr>
              <w:t xml:space="preserve">(36-1)-463-3299 </w:t>
            </w:r>
          </w:p>
          <w:p w14:paraId="35D5292C" w14:textId="77777777" w:rsidR="001A4863" w:rsidRDefault="001A4863" w:rsidP="005B4147">
            <w:pPr>
              <w:ind w:left="1452" w:hanging="1276"/>
              <w:rPr>
                <w:rFonts w:ascii="Arial" w:hAnsi="Arial" w:cs="Arial"/>
                <w:iCs/>
                <w:sz w:val="18"/>
                <w:szCs w:val="18"/>
              </w:rPr>
            </w:pPr>
          </w:p>
          <w:p w14:paraId="4D99606A" w14:textId="77777777" w:rsidR="001A4863" w:rsidRDefault="001A4863" w:rsidP="005B4147">
            <w:pPr>
              <w:ind w:left="1452" w:hanging="1276"/>
              <w:rPr>
                <w:rFonts w:ascii="Arial" w:hAnsi="Arial" w:cs="Arial"/>
                <w:iCs/>
                <w:sz w:val="18"/>
                <w:szCs w:val="18"/>
              </w:rPr>
            </w:pPr>
            <w:r w:rsidRPr="005A6ACB">
              <w:rPr>
                <w:rFonts w:ascii="Arial" w:hAnsi="Arial" w:cs="Arial"/>
                <w:b/>
                <w:bCs/>
                <w:iCs/>
                <w:sz w:val="18"/>
                <w:szCs w:val="18"/>
              </w:rPr>
              <w:t>Fax:</w:t>
            </w:r>
            <w:r w:rsidRPr="005A6ACB">
              <w:rPr>
                <w:rFonts w:ascii="Arial" w:hAnsi="Arial" w:cs="Arial"/>
                <w:iCs/>
                <w:sz w:val="18"/>
                <w:szCs w:val="18"/>
              </w:rPr>
              <w:t xml:space="preserve"> </w:t>
            </w:r>
            <w:r w:rsidRPr="005A6ACB">
              <w:rPr>
                <w:rFonts w:ascii="Arial" w:hAnsi="Arial" w:cs="Arial"/>
                <w:iCs/>
                <w:sz w:val="18"/>
                <w:szCs w:val="18"/>
              </w:rPr>
              <w:tab/>
            </w:r>
            <w:r>
              <w:rPr>
                <w:rFonts w:ascii="Arial" w:hAnsi="Arial" w:cs="Arial"/>
                <w:iCs/>
                <w:sz w:val="18"/>
                <w:szCs w:val="18"/>
              </w:rPr>
              <w:t xml:space="preserve">(36-1)-463-3297 </w:t>
            </w:r>
          </w:p>
          <w:p w14:paraId="10149DC6" w14:textId="77777777" w:rsidR="001A4863" w:rsidRDefault="001A4863" w:rsidP="005B4147">
            <w:pPr>
              <w:ind w:left="1452" w:hanging="1276"/>
              <w:rPr>
                <w:rFonts w:ascii="Arial" w:hAnsi="Arial" w:cs="Arial"/>
                <w:iCs/>
                <w:sz w:val="18"/>
                <w:szCs w:val="18"/>
              </w:rPr>
            </w:pPr>
          </w:p>
          <w:p w14:paraId="01F5718D" w14:textId="77777777" w:rsidR="001A4863" w:rsidRPr="005A6ACB" w:rsidRDefault="001A4863" w:rsidP="005B4147">
            <w:pPr>
              <w:ind w:left="1452" w:hanging="1276"/>
              <w:rPr>
                <w:rFonts w:ascii="Arial" w:hAnsi="Arial" w:cs="Arial"/>
                <w:b/>
                <w:color w:val="000000"/>
                <w:sz w:val="18"/>
                <w:szCs w:val="18"/>
              </w:rPr>
            </w:pPr>
            <w:r w:rsidRPr="005A6ACB">
              <w:rPr>
                <w:rFonts w:ascii="Arial" w:hAnsi="Arial" w:cs="Arial"/>
                <w:b/>
                <w:bCs/>
                <w:iCs/>
                <w:sz w:val="18"/>
                <w:szCs w:val="18"/>
              </w:rPr>
              <w:t>E-mail:</w:t>
            </w:r>
            <w:r w:rsidRPr="005A6ACB">
              <w:rPr>
                <w:rFonts w:ascii="Arial" w:hAnsi="Arial" w:cs="Arial"/>
                <w:iCs/>
                <w:sz w:val="18"/>
                <w:szCs w:val="18"/>
              </w:rPr>
              <w:t xml:space="preserve"> </w:t>
            </w:r>
            <w:r w:rsidRPr="005A6ACB">
              <w:rPr>
                <w:rFonts w:ascii="Arial" w:hAnsi="Arial" w:cs="Arial"/>
                <w:iCs/>
                <w:sz w:val="18"/>
                <w:szCs w:val="18"/>
              </w:rPr>
              <w:tab/>
              <w:t>poppe@mail.bme.hu</w:t>
            </w:r>
          </w:p>
        </w:tc>
      </w:tr>
    </w:tbl>
    <w:p w14:paraId="08BEC532" w14:textId="77777777" w:rsidR="001A4863" w:rsidRDefault="001A4863" w:rsidP="001A4863">
      <w:pPr>
        <w:spacing w:after="0"/>
        <w:ind w:left="425"/>
        <w:rPr>
          <w:rFonts w:ascii="Times New Roman" w:hAnsi="Times New Roman" w:cs="Times New Roman"/>
          <w:color w:val="000000" w:themeColor="text1"/>
          <w:sz w:val="24"/>
          <w:szCs w:val="24"/>
        </w:rPr>
      </w:pPr>
    </w:p>
    <w:p w14:paraId="199FD560" w14:textId="77777777" w:rsidR="001A4863" w:rsidRDefault="001A4863" w:rsidP="001A4863">
      <w:pPr>
        <w:spacing w:after="0"/>
        <w:ind w:left="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és</w:t>
      </w:r>
    </w:p>
    <w:p w14:paraId="23C97EEC" w14:textId="77777777" w:rsidR="001A4863" w:rsidRDefault="001A4863" w:rsidP="001A4863">
      <w:pPr>
        <w:spacing w:after="0"/>
        <w:ind w:left="425"/>
        <w:rPr>
          <w:rFonts w:ascii="Times New Roman" w:hAnsi="Times New Roman" w:cs="Times New Roman"/>
          <w:color w:val="000000" w:themeColor="text1"/>
          <w:sz w:val="24"/>
          <w:szCs w:val="24"/>
        </w:rPr>
      </w:pPr>
    </w:p>
    <w:p w14:paraId="0416DC4F" w14:textId="77777777" w:rsidR="001A4863" w:rsidRDefault="001A4863" w:rsidP="001A4863">
      <w:pPr>
        <w:spacing w:after="0"/>
        <w:ind w:left="425"/>
        <w:rPr>
          <w:rFonts w:ascii="Times New Roman" w:hAnsi="Times New Roman" w:cs="Times New Roman"/>
          <w:color w:val="0070C0"/>
          <w:sz w:val="24"/>
          <w:szCs w:val="24"/>
        </w:rPr>
      </w:pPr>
      <w:r w:rsidRPr="009B3392">
        <w:rPr>
          <w:rFonts w:ascii="Times New Roman" w:hAnsi="Times New Roman" w:cs="Times New Roman"/>
          <w:b/>
          <w:color w:val="000000" w:themeColor="text1"/>
          <w:sz w:val="24"/>
          <w:szCs w:val="24"/>
        </w:rPr>
        <w:t>Dr. Tantos Ágnes</w:t>
      </w:r>
      <w:r>
        <w:rPr>
          <w:rFonts w:ascii="Times New Roman" w:hAnsi="Times New Roman" w:cs="Times New Roman"/>
          <w:color w:val="000000" w:themeColor="text1"/>
          <w:sz w:val="24"/>
          <w:szCs w:val="24"/>
        </w:rPr>
        <w:t>, PhD, tudományos munkatárs</w:t>
      </w:r>
    </w:p>
    <w:p w14:paraId="7C0E7B7E" w14:textId="77777777" w:rsidR="001A4863" w:rsidRDefault="001A4863" w:rsidP="001A4863">
      <w:pPr>
        <w:spacing w:after="0"/>
        <w:ind w:left="425"/>
        <w:rPr>
          <w:rFonts w:ascii="Times New Roman" w:hAnsi="Times New Roman" w:cs="Times New Roman"/>
          <w:color w:val="0070C0"/>
          <w:sz w:val="24"/>
          <w:szCs w:val="24"/>
        </w:rPr>
      </w:pPr>
    </w:p>
    <w:p w14:paraId="52A484D6" w14:textId="77777777" w:rsidR="001A4863" w:rsidRPr="00EE7105" w:rsidRDefault="001A4863" w:rsidP="001A4863">
      <w:pPr>
        <w:spacing w:after="0"/>
        <w:ind w:left="425"/>
        <w:rPr>
          <w:rFonts w:ascii="Times New Roman" w:hAnsi="Times New Roman" w:cs="Times New Roman"/>
          <w:sz w:val="24"/>
          <w:szCs w:val="24"/>
        </w:rPr>
      </w:pPr>
      <w:r>
        <w:rPr>
          <w:rFonts w:ascii="Times New Roman" w:hAnsi="Times New Roman" w:cs="Times New Roman"/>
          <w:sz w:val="24"/>
          <w:szCs w:val="24"/>
        </w:rPr>
        <w:t>MTA TTK Enzimológiai Int</w:t>
      </w:r>
      <w:r w:rsidRPr="00EE7105">
        <w:rPr>
          <w:rFonts w:ascii="Times New Roman" w:hAnsi="Times New Roman" w:cs="Times New Roman"/>
          <w:sz w:val="24"/>
          <w:szCs w:val="24"/>
        </w:rPr>
        <w:t xml:space="preserve">ézet </w:t>
      </w:r>
      <w:r>
        <w:rPr>
          <w:rFonts w:ascii="Times New Roman" w:hAnsi="Times New Roman" w:cs="Times New Roman"/>
          <w:sz w:val="24"/>
          <w:szCs w:val="24"/>
        </w:rPr>
        <w:br/>
        <w:t>Rendezetlen fehérjék kutatócsoport</w:t>
      </w:r>
      <w:r w:rsidRPr="00EE7105">
        <w:rPr>
          <w:rFonts w:ascii="Times New Roman" w:hAnsi="Times New Roman" w:cs="Times New Roman"/>
          <w:sz w:val="24"/>
          <w:szCs w:val="24"/>
        </w:rPr>
        <w:br/>
      </w:r>
    </w:p>
    <w:tbl>
      <w:tblPr>
        <w:tblStyle w:val="Rcsostblzat"/>
        <w:tblW w:w="0" w:type="auto"/>
        <w:tblInd w:w="392" w:type="dxa"/>
        <w:tblLook w:val="01E0" w:firstRow="1" w:lastRow="1" w:firstColumn="1" w:lastColumn="1" w:noHBand="0" w:noVBand="0"/>
      </w:tblPr>
      <w:tblGrid>
        <w:gridCol w:w="2488"/>
        <w:gridCol w:w="6408"/>
      </w:tblGrid>
      <w:tr w:rsidR="001A4863" w14:paraId="7CBDBC52" w14:textId="77777777" w:rsidTr="005B4147">
        <w:tc>
          <w:tcPr>
            <w:tcW w:w="2488" w:type="dxa"/>
            <w:tcBorders>
              <w:top w:val="nil"/>
              <w:left w:val="nil"/>
              <w:bottom w:val="nil"/>
              <w:right w:val="nil"/>
            </w:tcBorders>
          </w:tcPr>
          <w:p w14:paraId="0C88ED85" w14:textId="5C1542CD" w:rsidR="001A4863" w:rsidRDefault="00D412D8" w:rsidP="005B4147">
            <w:pPr>
              <w:spacing w:before="100" w:beforeAutospacing="1" w:after="100" w:afterAutospacing="1"/>
              <w:jc w:val="center"/>
              <w:rPr>
                <w:b/>
                <w:color w:val="000000"/>
              </w:rPr>
            </w:pPr>
            <w:r>
              <w:rPr>
                <w:noProof/>
                <w:lang w:val="en-US"/>
              </w:rPr>
              <w:drawing>
                <wp:inline distT="0" distB="0" distL="0" distR="0" wp14:anchorId="36B0A0FE" wp14:editId="311D070B">
                  <wp:extent cx="1429200" cy="14292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429200" cy="1429200"/>
                          </a:xfrm>
                          <a:prstGeom prst="rect">
                            <a:avLst/>
                          </a:prstGeom>
                          <a:ln/>
                        </pic:spPr>
                      </pic:pic>
                    </a:graphicData>
                  </a:graphic>
                </wp:inline>
              </w:drawing>
            </w:r>
            <w:r w:rsidR="001A4863" w:rsidRPr="003D436E">
              <w:rPr>
                <w:b/>
                <w:noProof/>
                <w:color w:val="000000"/>
              </w:rPr>
              <w:t xml:space="preserve"> </w:t>
            </w:r>
          </w:p>
        </w:tc>
        <w:tc>
          <w:tcPr>
            <w:tcW w:w="6408" w:type="dxa"/>
            <w:tcBorders>
              <w:top w:val="nil"/>
              <w:left w:val="nil"/>
              <w:bottom w:val="nil"/>
              <w:right w:val="nil"/>
            </w:tcBorders>
          </w:tcPr>
          <w:p w14:paraId="7C0CD0BE" w14:textId="77777777" w:rsidR="001A4863" w:rsidRPr="00041489" w:rsidRDefault="001A4863" w:rsidP="005B4147">
            <w:pPr>
              <w:ind w:left="1452" w:hanging="1276"/>
              <w:rPr>
                <w:rFonts w:ascii="Arial" w:hAnsi="Arial" w:cs="Arial"/>
                <w:iCs/>
                <w:sz w:val="18"/>
                <w:szCs w:val="18"/>
                <w:lang w:val="pt-BR"/>
              </w:rPr>
            </w:pPr>
            <w:r w:rsidRPr="00041489">
              <w:rPr>
                <w:rFonts w:ascii="Arial" w:hAnsi="Arial" w:cs="Arial"/>
                <w:b/>
                <w:bCs/>
                <w:iCs/>
                <w:sz w:val="18"/>
                <w:szCs w:val="18"/>
                <w:lang w:val="pt-BR"/>
              </w:rPr>
              <w:t>Iroda, Labor:</w:t>
            </w:r>
            <w:r w:rsidRPr="00041489">
              <w:rPr>
                <w:rFonts w:ascii="Arial" w:hAnsi="Arial" w:cs="Arial"/>
                <w:iCs/>
                <w:sz w:val="18"/>
                <w:szCs w:val="18"/>
                <w:lang w:val="pt-BR"/>
              </w:rPr>
              <w:t xml:space="preserve"> </w:t>
            </w:r>
            <w:r w:rsidRPr="00041489">
              <w:rPr>
                <w:rFonts w:ascii="Arial" w:hAnsi="Arial" w:cs="Arial"/>
                <w:iCs/>
                <w:sz w:val="18"/>
                <w:szCs w:val="18"/>
                <w:lang w:val="pt-BR"/>
              </w:rPr>
              <w:tab/>
              <w:t xml:space="preserve"> </w:t>
            </w:r>
            <w:r>
              <w:rPr>
                <w:rFonts w:ascii="Arial" w:hAnsi="Arial" w:cs="Arial"/>
                <w:iCs/>
                <w:sz w:val="18"/>
                <w:szCs w:val="18"/>
                <w:lang w:val="pt-BR"/>
              </w:rPr>
              <w:t>D3-03, Ny3-04</w:t>
            </w:r>
          </w:p>
          <w:p w14:paraId="12B10987" w14:textId="77777777" w:rsidR="001A4863" w:rsidRPr="00041489" w:rsidRDefault="001A4863" w:rsidP="005B4147">
            <w:pPr>
              <w:ind w:left="1452" w:hanging="1276"/>
              <w:rPr>
                <w:rFonts w:ascii="Arial" w:hAnsi="Arial" w:cs="Arial"/>
                <w:iCs/>
                <w:sz w:val="18"/>
                <w:szCs w:val="18"/>
                <w:lang w:val="pt-BR"/>
              </w:rPr>
            </w:pPr>
          </w:p>
          <w:p w14:paraId="2CC7474D" w14:textId="77777777" w:rsidR="001A4863" w:rsidRDefault="001A4863" w:rsidP="005B4147">
            <w:pPr>
              <w:ind w:left="1452" w:hanging="1276"/>
              <w:rPr>
                <w:rFonts w:ascii="Arial" w:hAnsi="Arial" w:cs="Arial"/>
                <w:iCs/>
                <w:sz w:val="18"/>
                <w:szCs w:val="18"/>
              </w:rPr>
            </w:pPr>
            <w:r w:rsidRPr="00041489">
              <w:rPr>
                <w:rFonts w:ascii="Arial" w:hAnsi="Arial" w:cs="Arial"/>
                <w:b/>
                <w:bCs/>
                <w:iCs/>
                <w:sz w:val="18"/>
                <w:szCs w:val="18"/>
                <w:lang w:val="pt-BR"/>
              </w:rPr>
              <w:t>Levélcim:</w:t>
            </w:r>
            <w:r w:rsidRPr="00041489">
              <w:rPr>
                <w:rFonts w:ascii="Arial" w:hAnsi="Arial" w:cs="Arial"/>
                <w:iCs/>
                <w:sz w:val="18"/>
                <w:szCs w:val="18"/>
                <w:lang w:val="pt-BR"/>
              </w:rPr>
              <w:t xml:space="preserve"> </w:t>
            </w:r>
            <w:r w:rsidRPr="00041489">
              <w:rPr>
                <w:rFonts w:ascii="Arial" w:hAnsi="Arial" w:cs="Arial"/>
                <w:iCs/>
                <w:sz w:val="18"/>
                <w:szCs w:val="18"/>
                <w:lang w:val="pt-BR"/>
              </w:rPr>
              <w:tab/>
            </w:r>
            <w:r>
              <w:rPr>
                <w:rFonts w:ascii="Arial" w:hAnsi="Arial" w:cs="Arial"/>
                <w:iCs/>
                <w:sz w:val="18"/>
                <w:szCs w:val="18"/>
              </w:rPr>
              <w:t>MTA TTK Enzimológiai Intézet</w:t>
            </w:r>
            <w:r>
              <w:rPr>
                <w:rFonts w:ascii="Arial" w:hAnsi="Arial" w:cs="Arial"/>
                <w:iCs/>
                <w:sz w:val="18"/>
                <w:szCs w:val="18"/>
              </w:rPr>
              <w:br/>
              <w:t>H-1117 Budapest, Magyar tudósok krt. 2.</w:t>
            </w:r>
          </w:p>
          <w:p w14:paraId="740724D8" w14:textId="77777777" w:rsidR="001A4863" w:rsidRDefault="001A4863" w:rsidP="005B4147">
            <w:pPr>
              <w:ind w:left="1452" w:hanging="1276"/>
              <w:rPr>
                <w:rFonts w:ascii="Arial" w:hAnsi="Arial" w:cs="Arial"/>
                <w:b/>
                <w:bCs/>
                <w:iCs/>
                <w:sz w:val="18"/>
                <w:szCs w:val="18"/>
              </w:rPr>
            </w:pPr>
          </w:p>
          <w:p w14:paraId="511D646F" w14:textId="77777777" w:rsidR="001A4863" w:rsidRDefault="001A4863" w:rsidP="005B4147">
            <w:pPr>
              <w:ind w:left="1452" w:hanging="1276"/>
              <w:rPr>
                <w:rFonts w:ascii="Arial" w:hAnsi="Arial" w:cs="Arial"/>
                <w:iCs/>
                <w:sz w:val="18"/>
                <w:szCs w:val="18"/>
              </w:rPr>
            </w:pPr>
            <w:r w:rsidRPr="005A6ACB">
              <w:rPr>
                <w:rFonts w:ascii="Arial" w:hAnsi="Arial" w:cs="Arial"/>
                <w:b/>
                <w:bCs/>
                <w:iCs/>
                <w:sz w:val="18"/>
                <w:szCs w:val="18"/>
              </w:rPr>
              <w:t>Telefon:</w:t>
            </w:r>
            <w:r w:rsidRPr="005A6ACB">
              <w:rPr>
                <w:rFonts w:ascii="Arial" w:hAnsi="Arial" w:cs="Arial"/>
                <w:iCs/>
                <w:sz w:val="18"/>
                <w:szCs w:val="18"/>
              </w:rPr>
              <w:t xml:space="preserve"> </w:t>
            </w:r>
            <w:r w:rsidRPr="005A6ACB">
              <w:rPr>
                <w:rFonts w:ascii="Arial" w:hAnsi="Arial" w:cs="Arial"/>
                <w:iCs/>
                <w:sz w:val="18"/>
                <w:szCs w:val="18"/>
              </w:rPr>
              <w:tab/>
            </w:r>
            <w:r>
              <w:rPr>
                <w:rFonts w:ascii="Arial" w:hAnsi="Arial" w:cs="Arial"/>
                <w:iCs/>
                <w:sz w:val="18"/>
                <w:szCs w:val="18"/>
              </w:rPr>
              <w:t>(36-1)- 382-6705</w:t>
            </w:r>
          </w:p>
          <w:p w14:paraId="6FA2DACD" w14:textId="77777777" w:rsidR="001A4863" w:rsidRDefault="001A4863" w:rsidP="005B4147">
            <w:pPr>
              <w:rPr>
                <w:rFonts w:ascii="Arial" w:hAnsi="Arial" w:cs="Arial"/>
                <w:iCs/>
                <w:sz w:val="18"/>
                <w:szCs w:val="18"/>
              </w:rPr>
            </w:pPr>
          </w:p>
          <w:p w14:paraId="55B0DA90" w14:textId="77777777" w:rsidR="001A4863" w:rsidRPr="005A6ACB" w:rsidRDefault="001A4863" w:rsidP="005B4147">
            <w:pPr>
              <w:ind w:left="1452" w:hanging="1276"/>
              <w:rPr>
                <w:rFonts w:ascii="Arial" w:hAnsi="Arial" w:cs="Arial"/>
                <w:b/>
                <w:color w:val="000000"/>
                <w:sz w:val="18"/>
                <w:szCs w:val="18"/>
              </w:rPr>
            </w:pPr>
            <w:r w:rsidRPr="005A6ACB">
              <w:rPr>
                <w:rFonts w:ascii="Arial" w:hAnsi="Arial" w:cs="Arial"/>
                <w:b/>
                <w:bCs/>
                <w:iCs/>
                <w:sz w:val="18"/>
                <w:szCs w:val="18"/>
              </w:rPr>
              <w:t>E-mail:</w:t>
            </w:r>
            <w:r w:rsidRPr="005A6ACB">
              <w:rPr>
                <w:rFonts w:ascii="Arial" w:hAnsi="Arial" w:cs="Arial"/>
                <w:iCs/>
                <w:sz w:val="18"/>
                <w:szCs w:val="18"/>
              </w:rPr>
              <w:t xml:space="preserve"> </w:t>
            </w:r>
            <w:r w:rsidRPr="005A6ACB">
              <w:rPr>
                <w:rFonts w:ascii="Arial" w:hAnsi="Arial" w:cs="Arial"/>
                <w:iCs/>
                <w:sz w:val="18"/>
                <w:szCs w:val="18"/>
              </w:rPr>
              <w:tab/>
            </w:r>
            <w:r>
              <w:rPr>
                <w:rFonts w:ascii="Arial" w:hAnsi="Arial" w:cs="Arial"/>
                <w:iCs/>
                <w:sz w:val="18"/>
                <w:szCs w:val="18"/>
              </w:rPr>
              <w:t>tantos.agnes@ttk.mta.hu</w:t>
            </w:r>
          </w:p>
        </w:tc>
      </w:tr>
    </w:tbl>
    <w:p w14:paraId="0F333D3E" w14:textId="77777777" w:rsidR="001A4863" w:rsidRPr="001A4863" w:rsidRDefault="001A4863" w:rsidP="001A4863">
      <w:pPr>
        <w:jc w:val="both"/>
        <w:rPr>
          <w:rFonts w:ascii="Times New Roman" w:hAnsi="Times New Roman" w:cs="Times New Roman"/>
          <w:sz w:val="24"/>
          <w:szCs w:val="24"/>
        </w:rPr>
      </w:pPr>
    </w:p>
    <w:p w14:paraId="422452C7" w14:textId="77777777" w:rsidR="002B12E2" w:rsidRPr="008A4BE4" w:rsidRDefault="002B12E2" w:rsidP="002B12E2">
      <w:pPr>
        <w:numPr>
          <w:ilvl w:val="0"/>
          <w:numId w:val="2"/>
        </w:numPr>
        <w:rPr>
          <w:rFonts w:ascii="Times New Roman" w:hAnsi="Times New Roman" w:cs="Times New Roman"/>
          <w:b/>
          <w:sz w:val="24"/>
          <w:szCs w:val="24"/>
        </w:rPr>
      </w:pPr>
      <w:r w:rsidRPr="002B12E2">
        <w:rPr>
          <w:rFonts w:ascii="Times New Roman" w:hAnsi="Times New Roman" w:cs="Times New Roman"/>
          <w:sz w:val="24"/>
          <w:szCs w:val="24"/>
        </w:rPr>
        <w:t>Fejtsék ki pontosan, hogy a kutatási együttműködés</w:t>
      </w:r>
      <w:r w:rsidR="009B0FC9">
        <w:rPr>
          <w:rFonts w:ascii="Times New Roman" w:hAnsi="Times New Roman" w:cs="Times New Roman"/>
          <w:sz w:val="24"/>
          <w:szCs w:val="24"/>
        </w:rPr>
        <w:t>ük hogyan kapcsolódott</w:t>
      </w:r>
      <w:r w:rsidRPr="002B12E2">
        <w:rPr>
          <w:rFonts w:ascii="Times New Roman" w:hAnsi="Times New Roman" w:cs="Times New Roman"/>
          <w:sz w:val="24"/>
          <w:szCs w:val="24"/>
        </w:rPr>
        <w:t xml:space="preserve"> az alább megadott MedinProt </w:t>
      </w:r>
      <w:r w:rsidRPr="002B12E2">
        <w:rPr>
          <w:rFonts w:ascii="Times New Roman" w:hAnsi="Times New Roman" w:cs="Times New Roman"/>
          <w:b/>
          <w:sz w:val="24"/>
          <w:szCs w:val="24"/>
        </w:rPr>
        <w:t xml:space="preserve">fókuszpontok </w:t>
      </w:r>
      <w:r w:rsidRPr="002B12E2">
        <w:rPr>
          <w:rFonts w:ascii="Times New Roman" w:hAnsi="Times New Roman" w:cs="Times New Roman"/>
          <w:sz w:val="24"/>
          <w:szCs w:val="24"/>
        </w:rPr>
        <w:t xml:space="preserve">legalább egyikéhez </w:t>
      </w:r>
      <w:r w:rsidRPr="002B12E2">
        <w:rPr>
          <w:rFonts w:ascii="Times New Roman" w:hAnsi="Times New Roman" w:cs="Times New Roman"/>
          <w:i/>
          <w:iCs/>
          <w:sz w:val="24"/>
          <w:szCs w:val="24"/>
        </w:rPr>
        <w:t>(max. 300 szó)</w:t>
      </w:r>
      <w:r w:rsidRPr="002B12E2">
        <w:rPr>
          <w:rFonts w:ascii="Times New Roman" w:hAnsi="Times New Roman" w:cs="Times New Roman"/>
          <w:b/>
          <w:i/>
          <w:iCs/>
          <w:sz w:val="24"/>
          <w:szCs w:val="24"/>
        </w:rPr>
        <w:t>.</w:t>
      </w:r>
    </w:p>
    <w:p w14:paraId="06887251" w14:textId="77777777" w:rsidR="003A7C61" w:rsidRDefault="003A7C61" w:rsidP="003A7C61">
      <w:pPr>
        <w:ind w:left="426"/>
        <w:jc w:val="both"/>
        <w:rPr>
          <w:rFonts w:ascii="Times New Roman" w:hAnsi="Times New Roman" w:cs="Times New Roman"/>
          <w:sz w:val="24"/>
          <w:szCs w:val="24"/>
        </w:rPr>
      </w:pPr>
      <w:r>
        <w:rPr>
          <w:rFonts w:ascii="Times New Roman" w:hAnsi="Times New Roman" w:cs="Times New Roman"/>
          <w:sz w:val="24"/>
          <w:szCs w:val="24"/>
        </w:rPr>
        <w:t xml:space="preserve">Kutatásunk a „Jelátviteli fehérjék szerepe gyulladásos és daganatos megbetegedésekben” fókuszponthoz kapcsolódott. Az általunk vizsgált fehérjék, a mátrix metalloproteináz 9 (MMP9) és a </w:t>
      </w:r>
      <w:r w:rsidRPr="005D4EB6">
        <w:rPr>
          <w:rFonts w:ascii="Times New Roman" w:hAnsi="Times New Roman" w:cs="Times New Roman"/>
          <w:bCs/>
          <w:sz w:val="24"/>
          <w:szCs w:val="24"/>
          <w:lang w:val="en-US"/>
        </w:rPr>
        <w:t>DNA mismatch repair protein</w:t>
      </w:r>
      <w:r w:rsidRPr="005D4EB6">
        <w:rPr>
          <w:rFonts w:ascii="Times New Roman" w:hAnsi="Times New Roman" w:cs="Times New Roman"/>
          <w:sz w:val="24"/>
          <w:szCs w:val="24"/>
        </w:rPr>
        <w:t xml:space="preserve"> </w:t>
      </w:r>
      <w:r>
        <w:rPr>
          <w:rFonts w:ascii="Times New Roman" w:hAnsi="Times New Roman" w:cs="Times New Roman"/>
          <w:sz w:val="24"/>
          <w:szCs w:val="24"/>
        </w:rPr>
        <w:t xml:space="preserve">(hMLH1) különböző daganatos </w:t>
      </w:r>
      <w:r>
        <w:rPr>
          <w:rFonts w:ascii="Times New Roman" w:hAnsi="Times New Roman" w:cs="Times New Roman"/>
          <w:sz w:val="24"/>
          <w:szCs w:val="24"/>
        </w:rPr>
        <w:lastRenderedPageBreak/>
        <w:t xml:space="preserve">megbetegedések kialakulásában játszanak szerepet, ezért funkciójuk és szerkezetük alapos megismerése közelebb vihet ezen betegségek megértéséhez. </w:t>
      </w:r>
      <w:r w:rsidRPr="00135DE9">
        <w:rPr>
          <w:rFonts w:ascii="Times New Roman" w:hAnsi="Times New Roman" w:cs="Times New Roman"/>
          <w:sz w:val="24"/>
          <w:szCs w:val="24"/>
        </w:rPr>
        <w:t xml:space="preserve">A rekombináns fehérje előállítási </w:t>
      </w:r>
      <w:r>
        <w:rPr>
          <w:rFonts w:ascii="Times New Roman" w:hAnsi="Times New Roman" w:cs="Times New Roman"/>
          <w:sz w:val="24"/>
          <w:szCs w:val="24"/>
        </w:rPr>
        <w:t>technológia</w:t>
      </w:r>
      <w:r w:rsidRPr="00135DE9">
        <w:rPr>
          <w:rFonts w:ascii="Times New Roman" w:hAnsi="Times New Roman" w:cs="Times New Roman"/>
          <w:sz w:val="24"/>
          <w:szCs w:val="24"/>
        </w:rPr>
        <w:t xml:space="preserve"> megkönnyítette termelésüket, szerkezetüket vagy funkciójukat azonban csak tiszta állapotukban vizsgálhatjuk. Ezen együttműködés célja e fehérjék újszerű tisztítási mód</w:t>
      </w:r>
      <w:r>
        <w:rPr>
          <w:rFonts w:ascii="Times New Roman" w:hAnsi="Times New Roman" w:cs="Times New Roman"/>
          <w:sz w:val="24"/>
          <w:szCs w:val="24"/>
        </w:rPr>
        <w:t>sz</w:t>
      </w:r>
      <w:r w:rsidRPr="00135DE9">
        <w:rPr>
          <w:rFonts w:ascii="Times New Roman" w:hAnsi="Times New Roman" w:cs="Times New Roman"/>
          <w:sz w:val="24"/>
          <w:szCs w:val="24"/>
        </w:rPr>
        <w:t xml:space="preserve">ereinek kidolgozásával </w:t>
      </w:r>
      <w:r>
        <w:rPr>
          <w:rFonts w:ascii="Times New Roman" w:hAnsi="Times New Roman" w:cs="Times New Roman"/>
          <w:sz w:val="24"/>
          <w:szCs w:val="24"/>
        </w:rPr>
        <w:t>megkönnyíteni további vizsgálataikat.</w:t>
      </w:r>
    </w:p>
    <w:p w14:paraId="3B962E9F" w14:textId="77777777" w:rsidR="008A4BE4" w:rsidRPr="002B12E2" w:rsidRDefault="003A7C61" w:rsidP="00D412D8">
      <w:pPr>
        <w:ind w:left="426"/>
        <w:jc w:val="both"/>
        <w:rPr>
          <w:rFonts w:ascii="Times New Roman" w:hAnsi="Times New Roman" w:cs="Times New Roman"/>
          <w:b/>
          <w:sz w:val="24"/>
          <w:szCs w:val="24"/>
        </w:rPr>
      </w:pPr>
      <w:r>
        <w:rPr>
          <w:rFonts w:ascii="Times New Roman" w:hAnsi="Times New Roman" w:cs="Times New Roman"/>
          <w:sz w:val="24"/>
          <w:szCs w:val="24"/>
        </w:rPr>
        <w:t>Az MMP9 az extracelluláris mátrix komponenseit bontó processzív enzim, melynek a daganatos sejtek áttétképzésében tulajdonítanak jelentőséget. A hMLH1 az egyik DNS hibajavító mechanizmus kulcsenzime, hiányában több rákos megbetegedés kockázata is megnő.</w:t>
      </w:r>
    </w:p>
    <w:p w14:paraId="0B874F26" w14:textId="77777777" w:rsidR="002B12E2" w:rsidRPr="008A4BE4" w:rsidRDefault="008A4BE4" w:rsidP="0000369E">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Foglalják össze </w:t>
      </w:r>
      <w:r w:rsidR="002B12E2" w:rsidRPr="002B12E2">
        <w:rPr>
          <w:rFonts w:ascii="Times New Roman" w:hAnsi="Times New Roman" w:cs="Times New Roman"/>
          <w:b/>
          <w:sz w:val="24"/>
          <w:szCs w:val="24"/>
        </w:rPr>
        <w:t>közérthetően</w:t>
      </w:r>
      <w:r w:rsidR="002B12E2" w:rsidRPr="002B12E2">
        <w:rPr>
          <w:rFonts w:ascii="Times New Roman" w:hAnsi="Times New Roman" w:cs="Times New Roman"/>
          <w:sz w:val="24"/>
          <w:szCs w:val="24"/>
        </w:rPr>
        <w:t xml:space="preserve"> szinergia programjuk</w:t>
      </w:r>
      <w:r w:rsidR="009B0FC9">
        <w:rPr>
          <w:rFonts w:ascii="Times New Roman" w:hAnsi="Times New Roman" w:cs="Times New Roman"/>
          <w:sz w:val="24"/>
          <w:szCs w:val="24"/>
        </w:rPr>
        <w:t>,</w:t>
      </w:r>
      <w:r w:rsidR="002B12E2" w:rsidRPr="002B12E2">
        <w:rPr>
          <w:rFonts w:ascii="Times New Roman" w:hAnsi="Times New Roman" w:cs="Times New Roman"/>
          <w:sz w:val="24"/>
          <w:szCs w:val="24"/>
        </w:rPr>
        <w:t xml:space="preserve"> </w:t>
      </w:r>
      <w:r w:rsidR="009B0FC9">
        <w:rPr>
          <w:rFonts w:ascii="Times New Roman" w:hAnsi="Times New Roman" w:cs="Times New Roman"/>
          <w:sz w:val="24"/>
          <w:szCs w:val="24"/>
        </w:rPr>
        <w:t>és</w:t>
      </w:r>
      <w:r w:rsidR="002B12E2" w:rsidRPr="002B12E2">
        <w:rPr>
          <w:rFonts w:ascii="Times New Roman" w:hAnsi="Times New Roman" w:cs="Times New Roman"/>
          <w:sz w:val="24"/>
          <w:szCs w:val="24"/>
        </w:rPr>
        <w:t xml:space="preserve"> közös munkájuk </w:t>
      </w:r>
      <w:r w:rsidR="009B0FC9">
        <w:rPr>
          <w:rFonts w:ascii="Times New Roman" w:hAnsi="Times New Roman" w:cs="Times New Roman"/>
          <w:sz w:val="24"/>
          <w:szCs w:val="24"/>
        </w:rPr>
        <w:t>eredményeit</w:t>
      </w:r>
      <w:r w:rsidR="002B12E2" w:rsidRPr="002B12E2">
        <w:rPr>
          <w:rFonts w:ascii="Times New Roman" w:hAnsi="Times New Roman" w:cs="Times New Roman"/>
          <w:sz w:val="24"/>
          <w:szCs w:val="24"/>
        </w:rPr>
        <w:t xml:space="preserve"> </w:t>
      </w:r>
      <w:r w:rsidR="009B0FC9">
        <w:rPr>
          <w:rFonts w:ascii="Times New Roman" w:hAnsi="Times New Roman" w:cs="Times New Roman"/>
          <w:i/>
          <w:iCs/>
          <w:sz w:val="24"/>
          <w:szCs w:val="24"/>
        </w:rPr>
        <w:t>(max. 300 szó).</w:t>
      </w:r>
    </w:p>
    <w:p w14:paraId="6498E92E" w14:textId="5D9EAB09" w:rsidR="00FE4818" w:rsidRDefault="0000369E" w:rsidP="00FE4818">
      <w:pPr>
        <w:ind w:left="720"/>
        <w:jc w:val="both"/>
        <w:rPr>
          <w:rFonts w:ascii="Times New Roman" w:hAnsi="Times New Roman" w:cs="Times New Roman"/>
          <w:sz w:val="24"/>
          <w:szCs w:val="24"/>
        </w:rPr>
      </w:pPr>
      <w:r>
        <w:rPr>
          <w:rFonts w:ascii="Times New Roman" w:hAnsi="Times New Roman" w:cs="Times New Roman"/>
          <w:sz w:val="24"/>
          <w:szCs w:val="24"/>
        </w:rPr>
        <w:t xml:space="preserve">A szinergia program keretében folytatott kutatásaink során sikerült kifejleszteni és tesztelni olyan mágneses </w:t>
      </w:r>
      <w:proofErr w:type="spellStart"/>
      <w:r>
        <w:rPr>
          <w:rFonts w:ascii="Times New Roman" w:hAnsi="Times New Roman" w:cs="Times New Roman"/>
          <w:sz w:val="24"/>
          <w:szCs w:val="24"/>
        </w:rPr>
        <w:t>nanorészecskéket</w:t>
      </w:r>
      <w:proofErr w:type="spellEnd"/>
      <w:r>
        <w:rPr>
          <w:rFonts w:ascii="Times New Roman" w:hAnsi="Times New Roman" w:cs="Times New Roman"/>
          <w:sz w:val="24"/>
          <w:szCs w:val="24"/>
        </w:rPr>
        <w:t>, melyek alkalmasak re</w:t>
      </w:r>
      <w:r w:rsidR="002D1898">
        <w:rPr>
          <w:rFonts w:ascii="Times New Roman" w:hAnsi="Times New Roman" w:cs="Times New Roman"/>
          <w:sz w:val="24"/>
          <w:szCs w:val="24"/>
        </w:rPr>
        <w:t xml:space="preserve">ndezetlen fehérjék megkötésére. Eredeti terveinkben olyan mágneses </w:t>
      </w:r>
      <w:proofErr w:type="spellStart"/>
      <w:r w:rsidR="002D1898">
        <w:rPr>
          <w:rFonts w:ascii="Times New Roman" w:hAnsi="Times New Roman" w:cs="Times New Roman"/>
          <w:sz w:val="24"/>
          <w:szCs w:val="24"/>
        </w:rPr>
        <w:t>nanorészecskék</w:t>
      </w:r>
      <w:proofErr w:type="spellEnd"/>
      <w:r w:rsidR="002D1898">
        <w:rPr>
          <w:rFonts w:ascii="Times New Roman" w:hAnsi="Times New Roman" w:cs="Times New Roman"/>
          <w:sz w:val="24"/>
          <w:szCs w:val="24"/>
        </w:rPr>
        <w:t xml:space="preserve"> (</w:t>
      </w:r>
      <w:proofErr w:type="spellStart"/>
      <w:r w:rsidR="002D1898">
        <w:rPr>
          <w:rFonts w:ascii="Times New Roman" w:hAnsi="Times New Roman" w:cs="Times New Roman"/>
          <w:sz w:val="24"/>
          <w:szCs w:val="24"/>
        </w:rPr>
        <w:t>MNP</w:t>
      </w:r>
      <w:r w:rsidR="008B3CA8">
        <w:rPr>
          <w:rFonts w:ascii="Times New Roman" w:hAnsi="Times New Roman" w:cs="Times New Roman"/>
          <w:sz w:val="24"/>
          <w:szCs w:val="24"/>
        </w:rPr>
        <w:t>k</w:t>
      </w:r>
      <w:proofErr w:type="spellEnd"/>
      <w:r w:rsidR="002D1898">
        <w:rPr>
          <w:rFonts w:ascii="Times New Roman" w:hAnsi="Times New Roman" w:cs="Times New Roman"/>
          <w:sz w:val="24"/>
          <w:szCs w:val="24"/>
        </w:rPr>
        <w:t>)</w:t>
      </w:r>
      <w:r w:rsidR="002D1898" w:rsidRPr="002D1898">
        <w:rPr>
          <w:rFonts w:ascii="Times New Roman" w:hAnsi="Times New Roman" w:cs="Times New Roman"/>
          <w:sz w:val="24"/>
          <w:szCs w:val="24"/>
        </w:rPr>
        <w:t xml:space="preserve"> </w:t>
      </w:r>
      <w:r w:rsidR="002D1898">
        <w:rPr>
          <w:rFonts w:ascii="Times New Roman" w:hAnsi="Times New Roman" w:cs="Times New Roman"/>
          <w:sz w:val="24"/>
          <w:szCs w:val="24"/>
        </w:rPr>
        <w:t xml:space="preserve">kifejlesztése és tesztelése szerepelt, amelyek felszínén kétféle hosszúságú (rövid és hosszú) karon át EDTA anhidrid felhasználásával </w:t>
      </w:r>
      <w:proofErr w:type="spellStart"/>
      <w:r w:rsidR="002D1898">
        <w:rPr>
          <w:rFonts w:ascii="Times New Roman" w:hAnsi="Times New Roman" w:cs="Times New Roman"/>
          <w:sz w:val="24"/>
          <w:szCs w:val="24"/>
        </w:rPr>
        <w:t>fém-kelátor</w:t>
      </w:r>
      <w:proofErr w:type="spellEnd"/>
      <w:r w:rsidR="002D1898">
        <w:rPr>
          <w:rFonts w:ascii="Times New Roman" w:hAnsi="Times New Roman" w:cs="Times New Roman"/>
          <w:sz w:val="24"/>
          <w:szCs w:val="24"/>
        </w:rPr>
        <w:t xml:space="preserve"> egységet alakítunk ki, és azokat a szokásos és </w:t>
      </w:r>
      <w:proofErr w:type="spellStart"/>
      <w:proofErr w:type="gramStart"/>
      <w:r w:rsidR="002D1898">
        <w:rPr>
          <w:rFonts w:ascii="Times New Roman" w:hAnsi="Times New Roman" w:cs="Times New Roman"/>
          <w:sz w:val="24"/>
          <w:szCs w:val="24"/>
        </w:rPr>
        <w:t>Co</w:t>
      </w:r>
      <w:proofErr w:type="spellEnd"/>
      <w:r w:rsidR="002D1898">
        <w:rPr>
          <w:rFonts w:ascii="Times New Roman" w:hAnsi="Times New Roman" w:cs="Times New Roman"/>
          <w:sz w:val="24"/>
          <w:szCs w:val="24"/>
        </w:rPr>
        <w:t>(</w:t>
      </w:r>
      <w:proofErr w:type="gramEnd"/>
      <w:r w:rsidR="002D1898">
        <w:rPr>
          <w:rFonts w:ascii="Times New Roman" w:hAnsi="Times New Roman" w:cs="Times New Roman"/>
          <w:sz w:val="24"/>
          <w:szCs w:val="24"/>
        </w:rPr>
        <w:t xml:space="preserve">II) ionok mellett más fémionokkal is </w:t>
      </w:r>
      <w:proofErr w:type="spellStart"/>
      <w:r w:rsidR="002D1898">
        <w:rPr>
          <w:rFonts w:ascii="Times New Roman" w:hAnsi="Times New Roman" w:cs="Times New Roman"/>
          <w:sz w:val="24"/>
          <w:szCs w:val="24"/>
        </w:rPr>
        <w:t>komplexáljuk</w:t>
      </w:r>
      <w:proofErr w:type="spellEnd"/>
      <w:r w:rsidR="002D1898">
        <w:rPr>
          <w:rFonts w:ascii="Times New Roman" w:hAnsi="Times New Roman" w:cs="Times New Roman"/>
          <w:sz w:val="24"/>
          <w:szCs w:val="24"/>
        </w:rPr>
        <w:t xml:space="preserve">. </w:t>
      </w:r>
      <w:r w:rsidR="0024267B">
        <w:rPr>
          <w:rFonts w:ascii="Times New Roman" w:hAnsi="Times New Roman" w:cs="Times New Roman"/>
          <w:sz w:val="24"/>
          <w:szCs w:val="24"/>
        </w:rPr>
        <w:t xml:space="preserve">Sikerült kimutatni, hogy ha a fémiont </w:t>
      </w:r>
      <w:r w:rsidR="002D1898">
        <w:rPr>
          <w:rFonts w:ascii="Times New Roman" w:hAnsi="Times New Roman" w:cs="Times New Roman"/>
          <w:sz w:val="24"/>
          <w:szCs w:val="24"/>
        </w:rPr>
        <w:t xml:space="preserve">tartalmazó </w:t>
      </w:r>
      <w:proofErr w:type="spellStart"/>
      <w:r w:rsidR="002D1898">
        <w:rPr>
          <w:rFonts w:ascii="Times New Roman" w:hAnsi="Times New Roman" w:cs="Times New Roman"/>
          <w:sz w:val="24"/>
          <w:szCs w:val="24"/>
        </w:rPr>
        <w:t>kelált</w:t>
      </w:r>
      <w:proofErr w:type="spellEnd"/>
      <w:r w:rsidR="002D1898">
        <w:rPr>
          <w:rFonts w:ascii="Times New Roman" w:hAnsi="Times New Roman" w:cs="Times New Roman"/>
          <w:sz w:val="24"/>
          <w:szCs w:val="24"/>
        </w:rPr>
        <w:t xml:space="preserve"> egységet </w:t>
      </w:r>
      <w:r w:rsidR="0024267B">
        <w:rPr>
          <w:rFonts w:ascii="Times New Roman" w:hAnsi="Times New Roman" w:cs="Times New Roman"/>
          <w:sz w:val="24"/>
          <w:szCs w:val="24"/>
        </w:rPr>
        <w:t xml:space="preserve">hosszabb </w:t>
      </w:r>
      <w:r w:rsidR="002D1898">
        <w:rPr>
          <w:rFonts w:ascii="Times New Roman" w:hAnsi="Times New Roman" w:cs="Times New Roman"/>
          <w:sz w:val="24"/>
          <w:szCs w:val="24"/>
        </w:rPr>
        <w:t>kar</w:t>
      </w:r>
      <w:r w:rsidR="0024267B">
        <w:rPr>
          <w:rFonts w:ascii="Times New Roman" w:hAnsi="Times New Roman" w:cs="Times New Roman"/>
          <w:sz w:val="24"/>
          <w:szCs w:val="24"/>
        </w:rPr>
        <w:t xml:space="preserve"> köti a mágneses </w:t>
      </w:r>
      <w:proofErr w:type="spellStart"/>
      <w:r w:rsidR="0024267B">
        <w:rPr>
          <w:rFonts w:ascii="Times New Roman" w:hAnsi="Times New Roman" w:cs="Times New Roman"/>
          <w:sz w:val="24"/>
          <w:szCs w:val="24"/>
        </w:rPr>
        <w:t>nanorészecskéhez</w:t>
      </w:r>
      <w:proofErr w:type="spellEnd"/>
      <w:r w:rsidR="0024267B">
        <w:rPr>
          <w:rFonts w:ascii="Times New Roman" w:hAnsi="Times New Roman" w:cs="Times New Roman"/>
          <w:sz w:val="24"/>
          <w:szCs w:val="24"/>
        </w:rPr>
        <w:t xml:space="preserve">, akkor hatékonyabb a rendezetlen fehérjék kötődése. </w:t>
      </w:r>
      <w:r w:rsidR="002D1898">
        <w:rPr>
          <w:rFonts w:ascii="Times New Roman" w:hAnsi="Times New Roman" w:cs="Times New Roman"/>
          <w:sz w:val="24"/>
          <w:szCs w:val="24"/>
        </w:rPr>
        <w:t xml:space="preserve">Eredetileg csak kétféle kar </w:t>
      </w:r>
      <w:r w:rsidR="009B7D35">
        <w:rPr>
          <w:rFonts w:ascii="Times New Roman" w:hAnsi="Times New Roman" w:cs="Times New Roman"/>
          <w:sz w:val="24"/>
          <w:szCs w:val="24"/>
        </w:rPr>
        <w:t xml:space="preserve">vizsgálatát terveztük, de végül négy karhosszúságú </w:t>
      </w:r>
      <w:proofErr w:type="spellStart"/>
      <w:r w:rsidR="002D1898">
        <w:rPr>
          <w:rFonts w:ascii="Times New Roman" w:hAnsi="Times New Roman" w:cs="Times New Roman"/>
          <w:sz w:val="24"/>
          <w:szCs w:val="24"/>
        </w:rPr>
        <w:t>MNP-alapú</w:t>
      </w:r>
      <w:proofErr w:type="spellEnd"/>
      <w:r w:rsidR="002D1898">
        <w:rPr>
          <w:rFonts w:ascii="Times New Roman" w:hAnsi="Times New Roman" w:cs="Times New Roman"/>
          <w:sz w:val="24"/>
          <w:szCs w:val="24"/>
        </w:rPr>
        <w:t xml:space="preserve"> affinitás-</w:t>
      </w:r>
      <w:r w:rsidR="009B7D35">
        <w:rPr>
          <w:rFonts w:ascii="Times New Roman" w:hAnsi="Times New Roman" w:cs="Times New Roman"/>
          <w:sz w:val="24"/>
          <w:szCs w:val="24"/>
        </w:rPr>
        <w:t>sorozatot teszteltünk</w:t>
      </w:r>
      <w:r w:rsidR="002D1898">
        <w:rPr>
          <w:rFonts w:ascii="Times New Roman" w:hAnsi="Times New Roman" w:cs="Times New Roman"/>
          <w:sz w:val="24"/>
          <w:szCs w:val="24"/>
        </w:rPr>
        <w:t xml:space="preserve"> (minden</w:t>
      </w:r>
      <w:r w:rsidR="002D1898" w:rsidRPr="002D1898">
        <w:rPr>
          <w:rFonts w:ascii="Times New Roman" w:hAnsi="Times New Roman" w:cs="Times New Roman"/>
          <w:sz w:val="24"/>
          <w:szCs w:val="24"/>
        </w:rPr>
        <w:t xml:space="preserve"> </w:t>
      </w:r>
      <w:r w:rsidR="002D1898">
        <w:rPr>
          <w:rFonts w:ascii="Times New Roman" w:hAnsi="Times New Roman" w:cs="Times New Roman"/>
          <w:sz w:val="24"/>
          <w:szCs w:val="24"/>
        </w:rPr>
        <w:t>sorozatban</w:t>
      </w:r>
      <w:r w:rsidR="009B7D35">
        <w:rPr>
          <w:rFonts w:ascii="Times New Roman" w:hAnsi="Times New Roman" w:cs="Times New Roman"/>
          <w:sz w:val="24"/>
          <w:szCs w:val="24"/>
        </w:rPr>
        <w:t xml:space="preserve"> hatféle fémion</w:t>
      </w:r>
      <w:r w:rsidR="008B3CA8">
        <w:rPr>
          <w:rFonts w:ascii="Times New Roman" w:hAnsi="Times New Roman" w:cs="Times New Roman"/>
          <w:sz w:val="24"/>
          <w:szCs w:val="24"/>
        </w:rPr>
        <w:t xml:space="preserve"> felhasználásával</w:t>
      </w:r>
      <w:r w:rsidR="009B7D35">
        <w:rPr>
          <w:rFonts w:ascii="Times New Roman" w:hAnsi="Times New Roman" w:cs="Times New Roman"/>
          <w:sz w:val="24"/>
          <w:szCs w:val="24"/>
        </w:rPr>
        <w:t>.</w:t>
      </w:r>
      <w:r w:rsidR="00351E9B">
        <w:rPr>
          <w:rFonts w:ascii="Times New Roman" w:hAnsi="Times New Roman" w:cs="Times New Roman"/>
          <w:sz w:val="24"/>
          <w:szCs w:val="24"/>
        </w:rPr>
        <w:t xml:space="preserve"> </w:t>
      </w:r>
      <w:r w:rsidR="0024267B">
        <w:rPr>
          <w:rFonts w:ascii="Times New Roman" w:hAnsi="Times New Roman" w:cs="Times New Roman"/>
          <w:sz w:val="24"/>
          <w:szCs w:val="24"/>
        </w:rPr>
        <w:t xml:space="preserve">Vizsgálataink </w:t>
      </w:r>
      <w:r w:rsidR="008B3CA8">
        <w:rPr>
          <w:rFonts w:ascii="Times New Roman" w:hAnsi="Times New Roman" w:cs="Times New Roman"/>
          <w:sz w:val="24"/>
          <w:szCs w:val="24"/>
        </w:rPr>
        <w:t>i</w:t>
      </w:r>
      <w:r w:rsidR="0024267B">
        <w:rPr>
          <w:rFonts w:ascii="Times New Roman" w:hAnsi="Times New Roman" w:cs="Times New Roman"/>
          <w:sz w:val="24"/>
          <w:szCs w:val="24"/>
        </w:rPr>
        <w:t>gazol</w:t>
      </w:r>
      <w:r w:rsidR="008B3CA8">
        <w:rPr>
          <w:rFonts w:ascii="Times New Roman" w:hAnsi="Times New Roman" w:cs="Times New Roman"/>
          <w:sz w:val="24"/>
          <w:szCs w:val="24"/>
        </w:rPr>
        <w:t>tá</w:t>
      </w:r>
      <w:r w:rsidR="0024267B">
        <w:rPr>
          <w:rFonts w:ascii="Times New Roman" w:hAnsi="Times New Roman" w:cs="Times New Roman"/>
          <w:sz w:val="24"/>
          <w:szCs w:val="24"/>
        </w:rPr>
        <w:t xml:space="preserve">k, hogy a mágneses </w:t>
      </w:r>
      <w:proofErr w:type="spellStart"/>
      <w:r w:rsidR="0024267B">
        <w:rPr>
          <w:rFonts w:ascii="Times New Roman" w:hAnsi="Times New Roman" w:cs="Times New Roman"/>
          <w:sz w:val="24"/>
          <w:szCs w:val="24"/>
        </w:rPr>
        <w:t>nanorészecskéhe</w:t>
      </w:r>
      <w:r w:rsidR="008B3CA8">
        <w:rPr>
          <w:rFonts w:ascii="Times New Roman" w:hAnsi="Times New Roman" w:cs="Times New Roman"/>
          <w:sz w:val="24"/>
          <w:szCs w:val="24"/>
        </w:rPr>
        <w:t>z</w:t>
      </w:r>
      <w:proofErr w:type="spellEnd"/>
      <w:r w:rsidR="0024267B">
        <w:rPr>
          <w:rFonts w:ascii="Times New Roman" w:hAnsi="Times New Roman" w:cs="Times New Roman"/>
          <w:sz w:val="24"/>
          <w:szCs w:val="24"/>
        </w:rPr>
        <w:t xml:space="preserve"> kötött </w:t>
      </w:r>
      <w:proofErr w:type="spellStart"/>
      <w:r w:rsidR="008B3CA8">
        <w:rPr>
          <w:rFonts w:ascii="Times New Roman" w:hAnsi="Times New Roman" w:cs="Times New Roman"/>
          <w:sz w:val="24"/>
          <w:szCs w:val="24"/>
        </w:rPr>
        <w:t>Co</w:t>
      </w:r>
      <w:proofErr w:type="spellEnd"/>
      <w:r w:rsidR="008B3CA8">
        <w:rPr>
          <w:rFonts w:ascii="Times New Roman" w:hAnsi="Times New Roman" w:cs="Times New Roman"/>
          <w:sz w:val="24"/>
          <w:szCs w:val="24"/>
        </w:rPr>
        <w:t xml:space="preserve">(II), </w:t>
      </w:r>
      <w:proofErr w:type="spellStart"/>
      <w:r w:rsidR="008B3CA8">
        <w:rPr>
          <w:rFonts w:ascii="Times New Roman" w:hAnsi="Times New Roman" w:cs="Times New Roman"/>
          <w:sz w:val="24"/>
          <w:szCs w:val="24"/>
        </w:rPr>
        <w:t>Cu</w:t>
      </w:r>
      <w:proofErr w:type="spellEnd"/>
      <w:r w:rsidR="008B3CA8">
        <w:rPr>
          <w:rFonts w:ascii="Times New Roman" w:hAnsi="Times New Roman" w:cs="Times New Roman"/>
          <w:sz w:val="24"/>
          <w:szCs w:val="24"/>
        </w:rPr>
        <w:t>(II)</w:t>
      </w:r>
      <w:r w:rsidR="0024267B">
        <w:rPr>
          <w:rFonts w:ascii="Times New Roman" w:hAnsi="Times New Roman" w:cs="Times New Roman"/>
          <w:sz w:val="24"/>
          <w:szCs w:val="24"/>
        </w:rPr>
        <w:t xml:space="preserve"> és </w:t>
      </w:r>
      <w:proofErr w:type="spellStart"/>
      <w:r w:rsidR="008B3CA8">
        <w:rPr>
          <w:rFonts w:ascii="Times New Roman" w:hAnsi="Times New Roman" w:cs="Times New Roman"/>
          <w:sz w:val="24"/>
          <w:szCs w:val="24"/>
        </w:rPr>
        <w:t>Zn</w:t>
      </w:r>
      <w:proofErr w:type="spellEnd"/>
      <w:r w:rsidR="008B3CA8">
        <w:rPr>
          <w:rFonts w:ascii="Times New Roman" w:hAnsi="Times New Roman" w:cs="Times New Roman"/>
          <w:sz w:val="24"/>
          <w:szCs w:val="24"/>
        </w:rPr>
        <w:t>(II)</w:t>
      </w:r>
      <w:r w:rsidR="0024267B">
        <w:rPr>
          <w:rFonts w:ascii="Times New Roman" w:hAnsi="Times New Roman" w:cs="Times New Roman"/>
          <w:sz w:val="24"/>
          <w:szCs w:val="24"/>
        </w:rPr>
        <w:t xml:space="preserve"> ionokkal hatékonyabb kötődést érhetünk el, mint az általánosan </w:t>
      </w:r>
      <w:proofErr w:type="gramStart"/>
      <w:r w:rsidR="0024267B">
        <w:rPr>
          <w:rFonts w:ascii="Times New Roman" w:hAnsi="Times New Roman" w:cs="Times New Roman"/>
          <w:sz w:val="24"/>
          <w:szCs w:val="24"/>
        </w:rPr>
        <w:t>elterjedt</w:t>
      </w:r>
      <w:proofErr w:type="gramEnd"/>
      <w:r w:rsidR="0024267B">
        <w:rPr>
          <w:rFonts w:ascii="Times New Roman" w:hAnsi="Times New Roman" w:cs="Times New Roman"/>
          <w:sz w:val="24"/>
          <w:szCs w:val="24"/>
        </w:rPr>
        <w:t xml:space="preserve"> </w:t>
      </w:r>
      <w:r w:rsidR="008B3CA8">
        <w:rPr>
          <w:rFonts w:ascii="Times New Roman" w:hAnsi="Times New Roman" w:cs="Times New Roman"/>
          <w:sz w:val="24"/>
          <w:szCs w:val="24"/>
        </w:rPr>
        <w:t>Ni(II) ionok</w:t>
      </w:r>
      <w:r w:rsidR="0024267B">
        <w:rPr>
          <w:rFonts w:ascii="Times New Roman" w:hAnsi="Times New Roman" w:cs="Times New Roman"/>
          <w:sz w:val="24"/>
          <w:szCs w:val="24"/>
        </w:rPr>
        <w:t xml:space="preserve"> használatával.</w:t>
      </w:r>
      <w:r w:rsidR="00BB14E9">
        <w:rPr>
          <w:rFonts w:ascii="Times New Roman" w:hAnsi="Times New Roman" w:cs="Times New Roman"/>
          <w:sz w:val="24"/>
          <w:szCs w:val="24"/>
        </w:rPr>
        <w:t xml:space="preserve"> </w:t>
      </w:r>
      <w:r w:rsidR="008B3CA8">
        <w:rPr>
          <w:rFonts w:ascii="Times New Roman" w:hAnsi="Times New Roman" w:cs="Times New Roman"/>
          <w:sz w:val="24"/>
          <w:szCs w:val="24"/>
        </w:rPr>
        <w:t xml:space="preserve">Az általunk fejlesztett és vizsgált </w:t>
      </w:r>
      <w:proofErr w:type="spellStart"/>
      <w:r w:rsidR="008B3CA8">
        <w:rPr>
          <w:rFonts w:ascii="Times New Roman" w:hAnsi="Times New Roman" w:cs="Times New Roman"/>
          <w:sz w:val="24"/>
          <w:szCs w:val="24"/>
        </w:rPr>
        <w:t>MNP-alapú</w:t>
      </w:r>
      <w:proofErr w:type="spellEnd"/>
      <w:r w:rsidR="008B3CA8">
        <w:rPr>
          <w:rFonts w:ascii="Times New Roman" w:hAnsi="Times New Roman" w:cs="Times New Roman"/>
          <w:sz w:val="24"/>
          <w:szCs w:val="24"/>
        </w:rPr>
        <w:t xml:space="preserve"> hordozók n</w:t>
      </w:r>
      <w:r w:rsidR="00BB14E9">
        <w:rPr>
          <w:rFonts w:ascii="Times New Roman" w:hAnsi="Times New Roman" w:cs="Times New Roman"/>
          <w:sz w:val="24"/>
          <w:szCs w:val="24"/>
        </w:rPr>
        <w:t xml:space="preserve">em csupán a kötődés erősségében, hanem a szelektivitásban is felülmúlták a </w:t>
      </w:r>
      <w:proofErr w:type="spellStart"/>
      <w:r w:rsidR="00BB14E9">
        <w:rPr>
          <w:rFonts w:ascii="Times New Roman" w:hAnsi="Times New Roman" w:cs="Times New Roman"/>
          <w:sz w:val="24"/>
          <w:szCs w:val="24"/>
        </w:rPr>
        <w:t>Ni</w:t>
      </w:r>
      <w:r w:rsidR="008B3CA8">
        <w:rPr>
          <w:rFonts w:ascii="Times New Roman" w:hAnsi="Times New Roman" w:cs="Times New Roman"/>
          <w:sz w:val="24"/>
          <w:szCs w:val="24"/>
        </w:rPr>
        <w:t>-</w:t>
      </w:r>
      <w:r w:rsidR="00BB14E9">
        <w:rPr>
          <w:rFonts w:ascii="Times New Roman" w:hAnsi="Times New Roman" w:cs="Times New Roman"/>
          <w:sz w:val="24"/>
          <w:szCs w:val="24"/>
        </w:rPr>
        <w:t>NTA</w:t>
      </w:r>
      <w:proofErr w:type="spellEnd"/>
      <w:r w:rsidR="00BB14E9">
        <w:rPr>
          <w:rFonts w:ascii="Times New Roman" w:hAnsi="Times New Roman" w:cs="Times New Roman"/>
          <w:sz w:val="24"/>
          <w:szCs w:val="24"/>
        </w:rPr>
        <w:t xml:space="preserve"> </w:t>
      </w:r>
      <w:proofErr w:type="spellStart"/>
      <w:r w:rsidR="00BB14E9">
        <w:rPr>
          <w:rFonts w:ascii="Times New Roman" w:hAnsi="Times New Roman" w:cs="Times New Roman"/>
          <w:sz w:val="24"/>
          <w:szCs w:val="24"/>
        </w:rPr>
        <w:t>agarózt</w:t>
      </w:r>
      <w:proofErr w:type="spellEnd"/>
      <w:r w:rsidR="00BB14E9">
        <w:rPr>
          <w:rFonts w:ascii="Times New Roman" w:hAnsi="Times New Roman" w:cs="Times New Roman"/>
          <w:sz w:val="24"/>
          <w:szCs w:val="24"/>
        </w:rPr>
        <w:t>.</w:t>
      </w:r>
      <w:r w:rsidR="005B4147">
        <w:rPr>
          <w:rFonts w:ascii="Times New Roman" w:hAnsi="Times New Roman" w:cs="Times New Roman"/>
          <w:sz w:val="24"/>
          <w:szCs w:val="24"/>
        </w:rPr>
        <w:t xml:space="preserve"> </w:t>
      </w:r>
      <w:r w:rsidR="008B3CA8">
        <w:rPr>
          <w:rFonts w:ascii="Times New Roman" w:hAnsi="Times New Roman" w:cs="Times New Roman"/>
          <w:sz w:val="24"/>
          <w:szCs w:val="24"/>
        </w:rPr>
        <w:t xml:space="preserve">A leghatékonyabb </w:t>
      </w:r>
      <w:proofErr w:type="spellStart"/>
      <w:r w:rsidR="008B3CA8">
        <w:rPr>
          <w:rFonts w:ascii="Times New Roman" w:hAnsi="Times New Roman" w:cs="Times New Roman"/>
          <w:sz w:val="24"/>
          <w:szCs w:val="24"/>
        </w:rPr>
        <w:t>MNPk</w:t>
      </w:r>
      <w:proofErr w:type="spellEnd"/>
      <w:r w:rsidR="008B3CA8">
        <w:rPr>
          <w:rFonts w:ascii="Times New Roman" w:hAnsi="Times New Roman" w:cs="Times New Roman"/>
          <w:sz w:val="24"/>
          <w:szCs w:val="24"/>
        </w:rPr>
        <w:t xml:space="preserve"> a</w:t>
      </w:r>
      <w:r w:rsidR="00BB14E9">
        <w:rPr>
          <w:rFonts w:ascii="Times New Roman" w:hAnsi="Times New Roman" w:cs="Times New Roman"/>
          <w:sz w:val="24"/>
          <w:szCs w:val="24"/>
        </w:rPr>
        <w:t xml:space="preserve"> sejtkivonatból kevesebb </w:t>
      </w:r>
      <w:proofErr w:type="spellStart"/>
      <w:r w:rsidR="00BB14E9">
        <w:rPr>
          <w:rFonts w:ascii="Times New Roman" w:hAnsi="Times New Roman" w:cs="Times New Roman"/>
          <w:sz w:val="24"/>
          <w:szCs w:val="24"/>
        </w:rPr>
        <w:t>His-</w:t>
      </w:r>
      <w:r w:rsidR="008B3CA8">
        <w:rPr>
          <w:rFonts w:ascii="Times New Roman" w:hAnsi="Times New Roman" w:cs="Times New Roman"/>
          <w:sz w:val="24"/>
          <w:szCs w:val="24"/>
        </w:rPr>
        <w:t>jellel</w:t>
      </w:r>
      <w:proofErr w:type="spellEnd"/>
      <w:r w:rsidR="00BB14E9">
        <w:rPr>
          <w:rFonts w:ascii="Times New Roman" w:hAnsi="Times New Roman" w:cs="Times New Roman"/>
          <w:sz w:val="24"/>
          <w:szCs w:val="24"/>
        </w:rPr>
        <w:t xml:space="preserve"> nem rendelkező fehérj</w:t>
      </w:r>
      <w:r w:rsidR="008B3CA8">
        <w:rPr>
          <w:rFonts w:ascii="Times New Roman" w:hAnsi="Times New Roman" w:cs="Times New Roman"/>
          <w:sz w:val="24"/>
          <w:szCs w:val="24"/>
        </w:rPr>
        <w:t>ét kötöttek meg</w:t>
      </w:r>
      <w:r w:rsidR="00BB14E9">
        <w:rPr>
          <w:rFonts w:ascii="Times New Roman" w:hAnsi="Times New Roman" w:cs="Times New Roman"/>
          <w:sz w:val="24"/>
          <w:szCs w:val="24"/>
        </w:rPr>
        <w:t xml:space="preserve">, mint a </w:t>
      </w:r>
      <w:proofErr w:type="spellStart"/>
      <w:r w:rsidR="00BB14E9">
        <w:rPr>
          <w:rFonts w:ascii="Times New Roman" w:hAnsi="Times New Roman" w:cs="Times New Roman"/>
          <w:sz w:val="24"/>
          <w:szCs w:val="24"/>
        </w:rPr>
        <w:t>Ni</w:t>
      </w:r>
      <w:r w:rsidR="008B3CA8">
        <w:rPr>
          <w:rFonts w:ascii="Times New Roman" w:hAnsi="Times New Roman" w:cs="Times New Roman"/>
          <w:sz w:val="24"/>
          <w:szCs w:val="24"/>
        </w:rPr>
        <w:t>-</w:t>
      </w:r>
      <w:r w:rsidR="00BB14E9">
        <w:rPr>
          <w:rFonts w:ascii="Times New Roman" w:hAnsi="Times New Roman" w:cs="Times New Roman"/>
          <w:sz w:val="24"/>
          <w:szCs w:val="24"/>
        </w:rPr>
        <w:t>NTA</w:t>
      </w:r>
      <w:proofErr w:type="spellEnd"/>
      <w:r w:rsidR="00BB14E9">
        <w:rPr>
          <w:rFonts w:ascii="Times New Roman" w:hAnsi="Times New Roman" w:cs="Times New Roman"/>
          <w:sz w:val="24"/>
          <w:szCs w:val="24"/>
        </w:rPr>
        <w:t xml:space="preserve">. </w:t>
      </w:r>
      <w:r w:rsidR="005B4147">
        <w:rPr>
          <w:rFonts w:ascii="Times New Roman" w:hAnsi="Times New Roman" w:cs="Times New Roman"/>
          <w:sz w:val="24"/>
          <w:szCs w:val="24"/>
        </w:rPr>
        <w:t xml:space="preserve">Munkánk jelen szakaszában az elúciós körülmények kidolgozásával foglalkozunk, mert eddigi kísérleteink során </w:t>
      </w:r>
      <w:r w:rsidR="00BB14E9">
        <w:rPr>
          <w:rFonts w:ascii="Times New Roman" w:hAnsi="Times New Roman" w:cs="Times New Roman"/>
          <w:sz w:val="24"/>
          <w:szCs w:val="24"/>
        </w:rPr>
        <w:t xml:space="preserve">a vizsgált fehérjék </w:t>
      </w:r>
      <w:proofErr w:type="spellStart"/>
      <w:r w:rsidR="00BB14E9">
        <w:rPr>
          <w:rFonts w:ascii="Times New Roman" w:hAnsi="Times New Roman" w:cs="Times New Roman"/>
          <w:sz w:val="24"/>
          <w:szCs w:val="24"/>
        </w:rPr>
        <w:t>eluálása</w:t>
      </w:r>
      <w:proofErr w:type="spellEnd"/>
      <w:r w:rsidR="00BB14E9">
        <w:rPr>
          <w:rFonts w:ascii="Times New Roman" w:hAnsi="Times New Roman" w:cs="Times New Roman"/>
          <w:sz w:val="24"/>
          <w:szCs w:val="24"/>
        </w:rPr>
        <w:t xml:space="preserve"> </w:t>
      </w:r>
      <w:r w:rsidR="008B3CA8">
        <w:rPr>
          <w:rFonts w:ascii="Times New Roman" w:hAnsi="Times New Roman" w:cs="Times New Roman"/>
          <w:sz w:val="24"/>
          <w:szCs w:val="24"/>
        </w:rPr>
        <w:t xml:space="preserve">a nem megszokott </w:t>
      </w:r>
      <w:proofErr w:type="spellStart"/>
      <w:r w:rsidR="008B3CA8">
        <w:rPr>
          <w:rFonts w:ascii="Times New Roman" w:hAnsi="Times New Roman" w:cs="Times New Roman"/>
          <w:sz w:val="24"/>
          <w:szCs w:val="24"/>
        </w:rPr>
        <w:t>fém-kelátorokkal</w:t>
      </w:r>
      <w:proofErr w:type="spellEnd"/>
      <w:r w:rsidR="008B3CA8">
        <w:rPr>
          <w:rFonts w:ascii="Times New Roman" w:hAnsi="Times New Roman" w:cs="Times New Roman"/>
          <w:sz w:val="24"/>
          <w:szCs w:val="24"/>
        </w:rPr>
        <w:t xml:space="preserve"> </w:t>
      </w:r>
      <w:proofErr w:type="spellStart"/>
      <w:r w:rsidR="008B3CA8">
        <w:rPr>
          <w:rFonts w:ascii="Times New Roman" w:hAnsi="Times New Roman" w:cs="Times New Roman"/>
          <w:sz w:val="24"/>
          <w:szCs w:val="24"/>
        </w:rPr>
        <w:t>funkcionalizált</w:t>
      </w:r>
      <w:proofErr w:type="spellEnd"/>
      <w:r w:rsidR="008B3CA8">
        <w:rPr>
          <w:rFonts w:ascii="Times New Roman" w:hAnsi="Times New Roman" w:cs="Times New Roman"/>
          <w:sz w:val="24"/>
          <w:szCs w:val="24"/>
        </w:rPr>
        <w:t xml:space="preserve"> </w:t>
      </w:r>
      <w:proofErr w:type="spellStart"/>
      <w:r w:rsidR="008B3CA8">
        <w:rPr>
          <w:rFonts w:ascii="Times New Roman" w:hAnsi="Times New Roman" w:cs="Times New Roman"/>
          <w:sz w:val="24"/>
          <w:szCs w:val="24"/>
        </w:rPr>
        <w:t>MNPk-ről</w:t>
      </w:r>
      <w:proofErr w:type="spellEnd"/>
      <w:r w:rsidR="008B3CA8">
        <w:rPr>
          <w:rFonts w:ascii="Times New Roman" w:hAnsi="Times New Roman" w:cs="Times New Roman"/>
          <w:sz w:val="24"/>
          <w:szCs w:val="24"/>
        </w:rPr>
        <w:t xml:space="preserve"> </w:t>
      </w:r>
      <w:r w:rsidR="00BB14E9">
        <w:rPr>
          <w:rFonts w:ascii="Times New Roman" w:hAnsi="Times New Roman" w:cs="Times New Roman"/>
          <w:sz w:val="24"/>
          <w:szCs w:val="24"/>
        </w:rPr>
        <w:t>nehézségekbe ütközött.</w:t>
      </w:r>
      <w:r w:rsidR="00FE4818">
        <w:rPr>
          <w:rFonts w:ascii="Times New Roman" w:hAnsi="Times New Roman" w:cs="Times New Roman"/>
          <w:sz w:val="24"/>
          <w:szCs w:val="24"/>
        </w:rPr>
        <w:t xml:space="preserve"> Eredményeinket az elkövetkező három hónap során tervezzük nemzetközi tudományos folyóiratban közölni.</w:t>
      </w:r>
    </w:p>
    <w:p w14:paraId="1E5B2BA8" w14:textId="13E5750A" w:rsidR="008B3CA8" w:rsidRPr="00052FE4" w:rsidRDefault="007A7B2E" w:rsidP="00052FE4">
      <w:pPr>
        <w:ind w:left="720"/>
        <w:jc w:val="both"/>
      </w:pPr>
      <w:r>
        <w:rPr>
          <w:rFonts w:ascii="Times New Roman" w:hAnsi="Times New Roman" w:cs="Times New Roman"/>
          <w:sz w:val="24"/>
          <w:szCs w:val="24"/>
        </w:rPr>
        <w:t xml:space="preserve">Együttműködésünk folytatásaként elkezdtünk </w:t>
      </w:r>
      <w:r w:rsidR="008B3CA8">
        <w:rPr>
          <w:rFonts w:ascii="Times New Roman" w:hAnsi="Times New Roman" w:cs="Times New Roman"/>
          <w:sz w:val="24"/>
          <w:szCs w:val="24"/>
        </w:rPr>
        <w:t>foglalkozni</w:t>
      </w:r>
      <w:r>
        <w:rPr>
          <w:rFonts w:ascii="Times New Roman" w:hAnsi="Times New Roman" w:cs="Times New Roman"/>
          <w:sz w:val="24"/>
          <w:szCs w:val="24"/>
        </w:rPr>
        <w:t xml:space="preserve"> az </w:t>
      </w:r>
      <w:proofErr w:type="spellStart"/>
      <w:r>
        <w:rPr>
          <w:rFonts w:ascii="Times New Roman" w:hAnsi="Times New Roman" w:cs="Times New Roman"/>
          <w:sz w:val="24"/>
          <w:szCs w:val="24"/>
        </w:rPr>
        <w:t>MNPk</w:t>
      </w:r>
      <w:proofErr w:type="spellEnd"/>
      <w:r>
        <w:rPr>
          <w:rFonts w:ascii="Times New Roman" w:hAnsi="Times New Roman" w:cs="Times New Roman"/>
          <w:sz w:val="24"/>
          <w:szCs w:val="24"/>
        </w:rPr>
        <w:t xml:space="preserve"> fehérje</w:t>
      </w:r>
      <w:r w:rsidR="008B3CA8">
        <w:rPr>
          <w:rFonts w:ascii="Times New Roman" w:hAnsi="Times New Roman" w:cs="Times New Roman"/>
          <w:sz w:val="24"/>
          <w:szCs w:val="24"/>
        </w:rPr>
        <w:t>-fehérje kölcsönhatási</w:t>
      </w:r>
      <w:r>
        <w:rPr>
          <w:rFonts w:ascii="Times New Roman" w:hAnsi="Times New Roman" w:cs="Times New Roman"/>
          <w:sz w:val="24"/>
          <w:szCs w:val="24"/>
        </w:rPr>
        <w:t xml:space="preserve"> vizsgálatokban történő felhasználásának lehetőségeivel is. </w:t>
      </w:r>
      <w:r w:rsidR="008B3CA8">
        <w:rPr>
          <w:rFonts w:ascii="Times New Roman" w:hAnsi="Times New Roman" w:cs="Times New Roman"/>
          <w:sz w:val="24"/>
          <w:szCs w:val="24"/>
        </w:rPr>
        <w:t xml:space="preserve">A kifejlesztett </w:t>
      </w:r>
      <w:proofErr w:type="spellStart"/>
      <w:r w:rsidR="008B3CA8">
        <w:rPr>
          <w:rFonts w:ascii="Times New Roman" w:hAnsi="Times New Roman" w:cs="Times New Roman"/>
          <w:sz w:val="24"/>
          <w:szCs w:val="24"/>
        </w:rPr>
        <w:t>MNP-alapú</w:t>
      </w:r>
      <w:proofErr w:type="spellEnd"/>
      <w:r w:rsidR="008B3CA8">
        <w:rPr>
          <w:rFonts w:ascii="Times New Roman" w:hAnsi="Times New Roman" w:cs="Times New Roman"/>
          <w:sz w:val="24"/>
          <w:szCs w:val="24"/>
        </w:rPr>
        <w:t xml:space="preserve"> hordozók segítségével a</w:t>
      </w:r>
      <w:r w:rsidR="00A5618B">
        <w:rPr>
          <w:rFonts w:ascii="Times New Roman" w:hAnsi="Times New Roman" w:cs="Times New Roman"/>
          <w:sz w:val="24"/>
          <w:szCs w:val="24"/>
        </w:rPr>
        <w:t xml:space="preserve"> „</w:t>
      </w:r>
      <w:proofErr w:type="spellStart"/>
      <w:r w:rsidR="00A5618B">
        <w:rPr>
          <w:rFonts w:ascii="Times New Roman" w:hAnsi="Times New Roman" w:cs="Times New Roman"/>
          <w:sz w:val="24"/>
          <w:szCs w:val="24"/>
        </w:rPr>
        <w:t>nonsense</w:t>
      </w:r>
      <w:proofErr w:type="spellEnd"/>
      <w:r w:rsidR="00A5618B">
        <w:rPr>
          <w:rFonts w:ascii="Times New Roman" w:hAnsi="Times New Roman" w:cs="Times New Roman"/>
          <w:sz w:val="24"/>
          <w:szCs w:val="24"/>
        </w:rPr>
        <w:t xml:space="preserve"> </w:t>
      </w:r>
      <w:proofErr w:type="spellStart"/>
      <w:r w:rsidR="00A5618B">
        <w:rPr>
          <w:rFonts w:ascii="Times New Roman" w:hAnsi="Times New Roman" w:cs="Times New Roman"/>
          <w:sz w:val="24"/>
          <w:szCs w:val="24"/>
        </w:rPr>
        <w:t>mediated</w:t>
      </w:r>
      <w:proofErr w:type="spellEnd"/>
      <w:r w:rsidR="00A5618B">
        <w:rPr>
          <w:rFonts w:ascii="Times New Roman" w:hAnsi="Times New Roman" w:cs="Times New Roman"/>
          <w:sz w:val="24"/>
          <w:szCs w:val="24"/>
        </w:rPr>
        <w:t xml:space="preserve"> </w:t>
      </w:r>
      <w:proofErr w:type="spellStart"/>
      <w:r w:rsidR="00A5618B">
        <w:rPr>
          <w:rFonts w:ascii="Times New Roman" w:hAnsi="Times New Roman" w:cs="Times New Roman"/>
          <w:sz w:val="24"/>
          <w:szCs w:val="24"/>
        </w:rPr>
        <w:t>decay</w:t>
      </w:r>
      <w:proofErr w:type="spellEnd"/>
      <w:r w:rsidR="00A5618B">
        <w:rPr>
          <w:rFonts w:ascii="Times New Roman" w:hAnsi="Times New Roman" w:cs="Times New Roman"/>
          <w:sz w:val="24"/>
          <w:szCs w:val="24"/>
        </w:rPr>
        <w:t>” (NMD) folyamatban résztvevő két fehérje, az UPF1 és az UPF2 kölcsönhatását tudtuk kimutatni</w:t>
      </w:r>
      <w:r w:rsidR="008B3CA8">
        <w:rPr>
          <w:rFonts w:ascii="Times New Roman" w:hAnsi="Times New Roman" w:cs="Times New Roman"/>
          <w:sz w:val="24"/>
          <w:szCs w:val="24"/>
        </w:rPr>
        <w:t xml:space="preserve">. </w:t>
      </w:r>
      <w:r w:rsidR="00052FE4">
        <w:rPr>
          <w:rFonts w:ascii="Times New Roman" w:hAnsi="Times New Roman" w:cs="Times New Roman"/>
          <w:sz w:val="24"/>
          <w:szCs w:val="24"/>
        </w:rPr>
        <w:t xml:space="preserve">A </w:t>
      </w:r>
      <w:proofErr w:type="spellStart"/>
      <w:r w:rsidR="00052FE4">
        <w:rPr>
          <w:rFonts w:ascii="Times New Roman" w:hAnsi="Times New Roman" w:cs="Times New Roman"/>
          <w:sz w:val="24"/>
          <w:szCs w:val="24"/>
        </w:rPr>
        <w:t>Zn-MNP-kelát</w:t>
      </w:r>
      <w:proofErr w:type="spellEnd"/>
      <w:r w:rsidR="00052FE4">
        <w:rPr>
          <w:rFonts w:ascii="Times New Roman" w:hAnsi="Times New Roman" w:cs="Times New Roman"/>
          <w:sz w:val="24"/>
          <w:szCs w:val="24"/>
        </w:rPr>
        <w:t xml:space="preserve"> segítségével az </w:t>
      </w:r>
      <w:r w:rsidR="00052FE4" w:rsidRPr="00052FE4">
        <w:rPr>
          <w:rFonts w:ascii="Times New Roman" w:hAnsi="Times New Roman" w:cs="Times New Roman"/>
          <w:sz w:val="24"/>
          <w:szCs w:val="24"/>
        </w:rPr>
        <w:t>UPF2</w:t>
      </w:r>
      <w:r w:rsidR="00052FE4">
        <w:rPr>
          <w:rFonts w:ascii="Times New Roman" w:hAnsi="Times New Roman" w:cs="Times New Roman"/>
          <w:sz w:val="24"/>
          <w:szCs w:val="24"/>
        </w:rPr>
        <w:t xml:space="preserve"> és az UFP1</w:t>
      </w:r>
      <w:r w:rsidR="00052FE4" w:rsidRPr="00052FE4">
        <w:rPr>
          <w:rFonts w:ascii="Times New Roman" w:hAnsi="Times New Roman" w:cs="Times New Roman"/>
          <w:sz w:val="24"/>
          <w:szCs w:val="24"/>
        </w:rPr>
        <w:t xml:space="preserve"> </w:t>
      </w:r>
      <w:r w:rsidR="008B3CA8" w:rsidRPr="00052FE4">
        <w:rPr>
          <w:rFonts w:ascii="Times New Roman" w:hAnsi="Times New Roman" w:cs="Times New Roman"/>
          <w:sz w:val="24"/>
          <w:szCs w:val="24"/>
        </w:rPr>
        <w:t xml:space="preserve">szelektív kölcsönhatása </w:t>
      </w:r>
      <w:r w:rsidR="00052FE4" w:rsidRPr="00052FE4">
        <w:rPr>
          <w:rFonts w:ascii="Times New Roman" w:hAnsi="Times New Roman" w:cs="Times New Roman"/>
          <w:sz w:val="24"/>
          <w:szCs w:val="24"/>
        </w:rPr>
        <w:t xml:space="preserve">kimutatható </w:t>
      </w:r>
      <w:r w:rsidR="00052FE4">
        <w:rPr>
          <w:rFonts w:ascii="Times New Roman" w:hAnsi="Times New Roman" w:cs="Times New Roman"/>
          <w:sz w:val="24"/>
          <w:szCs w:val="24"/>
        </w:rPr>
        <w:t>volt. A</w:t>
      </w:r>
      <w:r w:rsidR="00052FE4" w:rsidRPr="00052FE4">
        <w:rPr>
          <w:rFonts w:ascii="Times New Roman" w:hAnsi="Times New Roman" w:cs="Times New Roman"/>
          <w:sz w:val="24"/>
          <w:szCs w:val="24"/>
        </w:rPr>
        <w:t xml:space="preserve"> </w:t>
      </w:r>
      <w:proofErr w:type="spellStart"/>
      <w:r w:rsidR="00052FE4" w:rsidRPr="00052FE4">
        <w:rPr>
          <w:rFonts w:ascii="Times New Roman" w:hAnsi="Times New Roman" w:cs="Times New Roman"/>
          <w:sz w:val="24"/>
          <w:szCs w:val="24"/>
        </w:rPr>
        <w:t>Zn-MNP-keláton</w:t>
      </w:r>
      <w:proofErr w:type="spellEnd"/>
      <w:r w:rsidR="00052FE4" w:rsidRPr="00052FE4">
        <w:rPr>
          <w:rFonts w:ascii="Times New Roman" w:hAnsi="Times New Roman" w:cs="Times New Roman"/>
          <w:sz w:val="24"/>
          <w:szCs w:val="24"/>
        </w:rPr>
        <w:t xml:space="preserve"> </w:t>
      </w:r>
      <w:r w:rsidR="00052FE4">
        <w:rPr>
          <w:rFonts w:ascii="Times New Roman" w:hAnsi="Times New Roman" w:cs="Times New Roman"/>
          <w:sz w:val="24"/>
          <w:szCs w:val="24"/>
        </w:rPr>
        <w:t>rögzített His-jel-</w:t>
      </w:r>
      <w:r w:rsidR="00052FE4" w:rsidRPr="00052FE4">
        <w:rPr>
          <w:rFonts w:ascii="Times New Roman" w:hAnsi="Times New Roman" w:cs="Times New Roman"/>
          <w:sz w:val="24"/>
          <w:szCs w:val="24"/>
        </w:rPr>
        <w:t xml:space="preserve">UPF2 </w:t>
      </w:r>
      <w:r w:rsidR="00052FE4">
        <w:rPr>
          <w:rFonts w:ascii="Times New Roman" w:hAnsi="Times New Roman" w:cs="Times New Roman"/>
          <w:sz w:val="24"/>
          <w:szCs w:val="24"/>
        </w:rPr>
        <w:t>affinitásanyag-szerűen kötötte az UFP1-et, míg egy másik tesztfehérjét (</w:t>
      </w:r>
      <w:proofErr w:type="spellStart"/>
      <w:r w:rsidR="00052FE4" w:rsidRPr="00052FE4">
        <w:rPr>
          <w:rFonts w:ascii="Times New Roman" w:hAnsi="Times New Roman" w:cs="Times New Roman"/>
          <w:sz w:val="24"/>
          <w:szCs w:val="24"/>
        </w:rPr>
        <w:t>Fs-ERD</w:t>
      </w:r>
      <w:proofErr w:type="spellEnd"/>
      <w:r w:rsidR="00052FE4" w:rsidRPr="00052FE4">
        <w:rPr>
          <w:rFonts w:ascii="Times New Roman" w:hAnsi="Times New Roman" w:cs="Times New Roman"/>
          <w:sz w:val="24"/>
          <w:szCs w:val="24"/>
        </w:rPr>
        <w:t>) egyáltalán nem kötött.</w:t>
      </w:r>
    </w:p>
    <w:p w14:paraId="107986A4" w14:textId="77777777" w:rsidR="002B12E2" w:rsidRPr="008A4BE4" w:rsidRDefault="00B20373" w:rsidP="0000369E">
      <w:pPr>
        <w:numPr>
          <w:ilvl w:val="0"/>
          <w:numId w:val="2"/>
        </w:numPr>
        <w:jc w:val="both"/>
        <w:rPr>
          <w:rFonts w:ascii="Times New Roman" w:hAnsi="Times New Roman" w:cs="Times New Roman"/>
          <w:sz w:val="24"/>
          <w:szCs w:val="24"/>
        </w:rPr>
      </w:pPr>
      <w:r>
        <w:rPr>
          <w:rFonts w:ascii="Times New Roman" w:hAnsi="Times New Roman" w:cs="Times New Roman"/>
          <w:sz w:val="24"/>
          <w:szCs w:val="24"/>
        </w:rPr>
        <w:t>Értékeljék és véleményezzék közös munkájukat (sikere</w:t>
      </w:r>
      <w:r w:rsidR="008A4BE4">
        <w:rPr>
          <w:rFonts w:ascii="Times New Roman" w:hAnsi="Times New Roman" w:cs="Times New Roman"/>
          <w:sz w:val="24"/>
          <w:szCs w:val="24"/>
        </w:rPr>
        <w:t>i</w:t>
      </w:r>
      <w:r>
        <w:rPr>
          <w:rFonts w:ascii="Times New Roman" w:hAnsi="Times New Roman" w:cs="Times New Roman"/>
          <w:sz w:val="24"/>
          <w:szCs w:val="24"/>
        </w:rPr>
        <w:t>ket, nehézsége</w:t>
      </w:r>
      <w:r w:rsidR="008A4BE4">
        <w:rPr>
          <w:rFonts w:ascii="Times New Roman" w:hAnsi="Times New Roman" w:cs="Times New Roman"/>
          <w:sz w:val="24"/>
          <w:szCs w:val="24"/>
        </w:rPr>
        <w:t>i</w:t>
      </w:r>
      <w:r>
        <w:rPr>
          <w:rFonts w:ascii="Times New Roman" w:hAnsi="Times New Roman" w:cs="Times New Roman"/>
          <w:sz w:val="24"/>
          <w:szCs w:val="24"/>
        </w:rPr>
        <w:t>ket, ill</w:t>
      </w:r>
      <w:r w:rsidR="008A4BE4">
        <w:rPr>
          <w:rFonts w:ascii="Times New Roman" w:hAnsi="Times New Roman" w:cs="Times New Roman"/>
          <w:sz w:val="24"/>
          <w:szCs w:val="24"/>
        </w:rPr>
        <w:t xml:space="preserve">etve azon </w:t>
      </w:r>
      <w:r>
        <w:rPr>
          <w:rFonts w:ascii="Times New Roman" w:hAnsi="Times New Roman" w:cs="Times New Roman"/>
          <w:sz w:val="24"/>
          <w:szCs w:val="24"/>
        </w:rPr>
        <w:t>ötlete</w:t>
      </w:r>
      <w:r w:rsidR="008A4BE4">
        <w:rPr>
          <w:rFonts w:ascii="Times New Roman" w:hAnsi="Times New Roman" w:cs="Times New Roman"/>
          <w:sz w:val="24"/>
          <w:szCs w:val="24"/>
        </w:rPr>
        <w:t>i</w:t>
      </w:r>
      <w:r>
        <w:rPr>
          <w:rFonts w:ascii="Times New Roman" w:hAnsi="Times New Roman" w:cs="Times New Roman"/>
          <w:sz w:val="24"/>
          <w:szCs w:val="24"/>
        </w:rPr>
        <w:t>ket</w:t>
      </w:r>
      <w:r w:rsidR="008A4BE4">
        <w:rPr>
          <w:rFonts w:ascii="Times New Roman" w:hAnsi="Times New Roman" w:cs="Times New Roman"/>
          <w:sz w:val="24"/>
          <w:szCs w:val="24"/>
        </w:rPr>
        <w:t>, javaslataikat</w:t>
      </w:r>
      <w:r>
        <w:rPr>
          <w:rFonts w:ascii="Times New Roman" w:hAnsi="Times New Roman" w:cs="Times New Roman"/>
          <w:sz w:val="24"/>
          <w:szCs w:val="24"/>
        </w:rPr>
        <w:t>, am</w:t>
      </w:r>
      <w:r w:rsidR="008A4BE4">
        <w:rPr>
          <w:rFonts w:ascii="Times New Roman" w:hAnsi="Times New Roman" w:cs="Times New Roman"/>
          <w:sz w:val="24"/>
          <w:szCs w:val="24"/>
        </w:rPr>
        <w:t xml:space="preserve">elyeknek köszönhetően </w:t>
      </w:r>
      <w:r>
        <w:rPr>
          <w:rFonts w:ascii="Times New Roman" w:hAnsi="Times New Roman" w:cs="Times New Roman"/>
          <w:sz w:val="24"/>
          <w:szCs w:val="24"/>
        </w:rPr>
        <w:t xml:space="preserve">a következő programok hatékonysága javulhat) </w:t>
      </w:r>
      <w:r w:rsidR="00D02F16">
        <w:rPr>
          <w:rFonts w:ascii="Times New Roman" w:hAnsi="Times New Roman" w:cs="Times New Roman"/>
          <w:i/>
          <w:iCs/>
          <w:sz w:val="24"/>
          <w:szCs w:val="24"/>
        </w:rPr>
        <w:t>(max. 200 szó</w:t>
      </w:r>
      <w:r w:rsidR="009B0FC9">
        <w:rPr>
          <w:rFonts w:ascii="Times New Roman" w:hAnsi="Times New Roman" w:cs="Times New Roman"/>
          <w:i/>
          <w:iCs/>
          <w:sz w:val="24"/>
          <w:szCs w:val="24"/>
        </w:rPr>
        <w:t>).</w:t>
      </w:r>
    </w:p>
    <w:p w14:paraId="09E48A73" w14:textId="0D5D152E" w:rsidR="008C1316" w:rsidRDefault="00FE4818" w:rsidP="0000369E">
      <w:pPr>
        <w:ind w:left="720"/>
        <w:jc w:val="both"/>
        <w:rPr>
          <w:rFonts w:ascii="Times New Roman" w:hAnsi="Times New Roman" w:cs="Times New Roman"/>
          <w:sz w:val="24"/>
          <w:szCs w:val="24"/>
        </w:rPr>
      </w:pPr>
      <w:r>
        <w:rPr>
          <w:rFonts w:ascii="Times New Roman" w:hAnsi="Times New Roman" w:cs="Times New Roman"/>
          <w:sz w:val="24"/>
          <w:szCs w:val="24"/>
        </w:rPr>
        <w:t>Közös munkánk a várakozásokhot képest kevesebb akadályba ütközött</w:t>
      </w:r>
      <w:r w:rsidR="00E36FEF">
        <w:rPr>
          <w:rFonts w:ascii="Times New Roman" w:hAnsi="Times New Roman" w:cs="Times New Roman"/>
          <w:sz w:val="24"/>
          <w:szCs w:val="24"/>
        </w:rPr>
        <w:t xml:space="preserve">. </w:t>
      </w:r>
      <w:r w:rsidR="00340CDB">
        <w:rPr>
          <w:rFonts w:ascii="Times New Roman" w:hAnsi="Times New Roman" w:cs="Times New Roman"/>
          <w:sz w:val="24"/>
          <w:szCs w:val="24"/>
        </w:rPr>
        <w:t>Mivel munkánk szorosan egymásra épült, fontos volt a folyamatos egyeztetés, de ezt sikerült megoldani.</w:t>
      </w:r>
      <w:r w:rsidR="008F3331">
        <w:rPr>
          <w:rFonts w:ascii="Times New Roman" w:hAnsi="Times New Roman" w:cs="Times New Roman"/>
          <w:sz w:val="24"/>
          <w:szCs w:val="24"/>
        </w:rPr>
        <w:t xml:space="preserve"> Az ilyen együttműködések esetén mindig nehézséget jelent, hogy amíg az egyik partner nem végez a saját munkájával, addig a másik partner csupán várakozni kényszerül, de a mi esetünkben meglehetősen hatékonyan </w:t>
      </w:r>
      <w:r w:rsidR="008E588E">
        <w:rPr>
          <w:rFonts w:ascii="Times New Roman" w:hAnsi="Times New Roman" w:cs="Times New Roman"/>
          <w:sz w:val="24"/>
          <w:szCs w:val="24"/>
        </w:rPr>
        <w:t>tudtunk dolgozni, ezért ezek a várakozási periódusok nem nyúltak túl hosszúra.</w:t>
      </w:r>
      <w:r w:rsidR="00340CDB">
        <w:rPr>
          <w:rFonts w:ascii="Times New Roman" w:hAnsi="Times New Roman" w:cs="Times New Roman"/>
          <w:sz w:val="24"/>
          <w:szCs w:val="24"/>
        </w:rPr>
        <w:t xml:space="preserve"> </w:t>
      </w:r>
      <w:r w:rsidR="008C1316">
        <w:rPr>
          <w:rFonts w:ascii="Times New Roman" w:hAnsi="Times New Roman" w:cs="Times New Roman"/>
          <w:sz w:val="24"/>
          <w:szCs w:val="24"/>
        </w:rPr>
        <w:t>A kapcsolattartást az is egyszerűsítette, hogy a két intézmény helyileg közel található, így mind a személyes találkozók, mind az anyagok átadása egyszerűen megoldhatók voltak.</w:t>
      </w:r>
      <w:r w:rsidR="008F3331">
        <w:rPr>
          <w:rFonts w:ascii="Times New Roman" w:hAnsi="Times New Roman" w:cs="Times New Roman"/>
          <w:sz w:val="24"/>
          <w:szCs w:val="24"/>
        </w:rPr>
        <w:t xml:space="preserve">  </w:t>
      </w:r>
    </w:p>
    <w:p w14:paraId="5A7DBF63" w14:textId="2E143306" w:rsidR="008C1316" w:rsidRDefault="008C1316" w:rsidP="0000369E">
      <w:pPr>
        <w:ind w:left="720"/>
        <w:jc w:val="both"/>
        <w:rPr>
          <w:rFonts w:ascii="Times New Roman" w:hAnsi="Times New Roman" w:cs="Times New Roman"/>
          <w:sz w:val="24"/>
          <w:szCs w:val="24"/>
        </w:rPr>
      </w:pPr>
      <w:r>
        <w:rPr>
          <w:rFonts w:ascii="Times New Roman" w:hAnsi="Times New Roman" w:cs="Times New Roman"/>
          <w:sz w:val="24"/>
          <w:szCs w:val="24"/>
        </w:rPr>
        <w:t xml:space="preserve">Elért eredményeink nagy segítséget jelenthetnek a rendezetlen fehérjék kísérletes vizsgálatában, és reményeink szerint értekesíthető termék kifejlesztéséhez is vezetnek. </w:t>
      </w:r>
    </w:p>
    <w:p w14:paraId="212EF641" w14:textId="40881186" w:rsidR="008A4BE4" w:rsidRDefault="00351E9B" w:rsidP="0000369E">
      <w:pPr>
        <w:ind w:left="720"/>
        <w:jc w:val="both"/>
        <w:rPr>
          <w:rFonts w:ascii="Times New Roman" w:hAnsi="Times New Roman" w:cs="Times New Roman"/>
          <w:sz w:val="24"/>
          <w:szCs w:val="24"/>
        </w:rPr>
      </w:pPr>
      <w:r>
        <w:rPr>
          <w:rFonts w:ascii="Times New Roman" w:hAnsi="Times New Roman" w:cs="Times New Roman"/>
          <w:sz w:val="24"/>
          <w:szCs w:val="24"/>
        </w:rPr>
        <w:t xml:space="preserve">Együttműködésünk a konkrét munka elvégzésén kívül az oktatás és kutatás más területén is hasznos hozadékkal járt, mert olyan diákokkal is kapcsolatot tudtunk kialakítani, akikkel más körülmények között nem találkoztunk volna. </w:t>
      </w:r>
      <w:r w:rsidR="009D6E89">
        <w:rPr>
          <w:rFonts w:ascii="Times New Roman" w:hAnsi="Times New Roman" w:cs="Times New Roman"/>
          <w:sz w:val="24"/>
          <w:szCs w:val="24"/>
        </w:rPr>
        <w:t xml:space="preserve">A </w:t>
      </w:r>
      <w:r w:rsidR="008F3331">
        <w:rPr>
          <w:rFonts w:ascii="Times New Roman" w:hAnsi="Times New Roman" w:cs="Times New Roman"/>
          <w:sz w:val="24"/>
          <w:szCs w:val="24"/>
        </w:rPr>
        <w:t>diákok bevonását motiválhatja</w:t>
      </w:r>
      <w:r w:rsidR="009D6E89">
        <w:rPr>
          <w:rFonts w:ascii="Times New Roman" w:hAnsi="Times New Roman" w:cs="Times New Roman"/>
          <w:sz w:val="24"/>
          <w:szCs w:val="24"/>
        </w:rPr>
        <w:t xml:space="preserve">, ha a </w:t>
      </w:r>
      <w:r w:rsidR="008F3331">
        <w:rPr>
          <w:rFonts w:ascii="Times New Roman" w:hAnsi="Times New Roman" w:cs="Times New Roman"/>
          <w:sz w:val="24"/>
          <w:szCs w:val="24"/>
        </w:rPr>
        <w:t xml:space="preserve">szinergia </w:t>
      </w:r>
      <w:r w:rsidR="009D6E89">
        <w:rPr>
          <w:rFonts w:ascii="Times New Roman" w:hAnsi="Times New Roman" w:cs="Times New Roman"/>
          <w:sz w:val="24"/>
          <w:szCs w:val="24"/>
        </w:rPr>
        <w:t>témá</w:t>
      </w:r>
      <w:r w:rsidR="008F3331">
        <w:rPr>
          <w:rFonts w:ascii="Times New Roman" w:hAnsi="Times New Roman" w:cs="Times New Roman"/>
          <w:sz w:val="24"/>
          <w:szCs w:val="24"/>
        </w:rPr>
        <w:t>já</w:t>
      </w:r>
      <w:r w:rsidR="009D6E89">
        <w:rPr>
          <w:rFonts w:ascii="Times New Roman" w:hAnsi="Times New Roman" w:cs="Times New Roman"/>
          <w:sz w:val="24"/>
          <w:szCs w:val="24"/>
        </w:rPr>
        <w:t>ban készült diplomadolgozatokat a kuratórium beszámítaná a tudományos eredmények közé.</w:t>
      </w:r>
    </w:p>
    <w:p w14:paraId="09D9C07F" w14:textId="0155FD73" w:rsidR="008D6E53" w:rsidRDefault="008A4BE4" w:rsidP="0000369E">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Szabadon fogalmazzák meg a MedInProt kapcsán támogató és/vagy kritikus észrevételeiket.</w:t>
      </w:r>
      <w:r w:rsidR="007E0A36">
        <w:rPr>
          <w:rFonts w:ascii="Times New Roman" w:hAnsi="Times New Roman" w:cs="Times New Roman"/>
          <w:sz w:val="24"/>
          <w:szCs w:val="24"/>
        </w:rPr>
        <w:t xml:space="preserve"> </w:t>
      </w:r>
      <w:r w:rsidR="007E0A36">
        <w:rPr>
          <w:rFonts w:ascii="Times New Roman" w:hAnsi="Times New Roman" w:cs="Times New Roman"/>
          <w:i/>
          <w:sz w:val="24"/>
          <w:szCs w:val="24"/>
        </w:rPr>
        <w:t>(max. 200 szó)</w:t>
      </w:r>
      <w:r>
        <w:rPr>
          <w:rFonts w:ascii="Times New Roman" w:hAnsi="Times New Roman" w:cs="Times New Roman"/>
          <w:sz w:val="24"/>
          <w:szCs w:val="24"/>
        </w:rPr>
        <w:t xml:space="preserve"> </w:t>
      </w:r>
    </w:p>
    <w:p w14:paraId="645F4E6E" w14:textId="4A6FA3E6" w:rsidR="00351E9B" w:rsidRDefault="00351E9B" w:rsidP="00351E9B">
      <w:pPr>
        <w:ind w:left="709"/>
        <w:jc w:val="both"/>
        <w:rPr>
          <w:rFonts w:ascii="Times New Roman" w:hAnsi="Times New Roman" w:cs="Times New Roman"/>
          <w:sz w:val="24"/>
          <w:szCs w:val="24"/>
        </w:rPr>
      </w:pPr>
      <w:r>
        <w:rPr>
          <w:rFonts w:ascii="Times New Roman" w:hAnsi="Times New Roman" w:cs="Times New Roman"/>
          <w:sz w:val="24"/>
          <w:szCs w:val="24"/>
        </w:rPr>
        <w:t>A mi munkánk terén rendkívül hasznos volt a MedInProt támogatása, mert enélkül valószínűleg nem kerültünk volna egymással kapcsolatba, pedig rendkívül fontos és előremutató témákon tudunk együtt dolgozni. Együttműködésünk egy éve alatt nagyon jó kapcsolatot tudtunk kialakítani, melyre alapozva hosszú távon tervezünk közös kutatásokat, és együttesen tervezünk kutatási támogatásra pályázni.</w:t>
      </w:r>
    </w:p>
    <w:p w14:paraId="666EF9BD" w14:textId="06916998" w:rsidR="00351E9B" w:rsidRDefault="00351E9B" w:rsidP="00351E9B">
      <w:pPr>
        <w:ind w:left="709"/>
        <w:jc w:val="both"/>
        <w:rPr>
          <w:rFonts w:ascii="Times New Roman" w:hAnsi="Times New Roman" w:cs="Times New Roman"/>
          <w:sz w:val="24"/>
          <w:szCs w:val="24"/>
        </w:rPr>
      </w:pPr>
      <w:r>
        <w:rPr>
          <w:rFonts w:ascii="Times New Roman" w:hAnsi="Times New Roman" w:cs="Times New Roman"/>
          <w:sz w:val="24"/>
          <w:szCs w:val="24"/>
        </w:rPr>
        <w:t>A MedInProt programmal mind adminisztrációs, mind tudományos szempontból teljes mértékben meg vagyunk elégedve, hiszen egyedülálló kezdeményezés a természettudományos kutatók nagyobb megbecsülése és szorosabb együttműködése érdekében. Többször felmerült már, de itt is szeretnénk kiemelni, hogy hosszú távon rendkívül előnyös lenne, ha nagyobb körben lenne hozzáférhető (vidéki egyetemek, más kutatóintézetek bevonása), de ehhez természetesen a források bővülésére is szükség lenne.</w:t>
      </w:r>
    </w:p>
    <w:p w14:paraId="790316DF" w14:textId="6E09D2B0" w:rsidR="00351E9B" w:rsidRPr="00351E9B" w:rsidRDefault="008C1316" w:rsidP="00351E9B">
      <w:pPr>
        <w:ind w:left="709"/>
        <w:jc w:val="both"/>
        <w:rPr>
          <w:rFonts w:ascii="Times New Roman" w:hAnsi="Times New Roman" w:cs="Times New Roman"/>
          <w:sz w:val="24"/>
          <w:szCs w:val="24"/>
        </w:rPr>
      </w:pPr>
      <w:r>
        <w:rPr>
          <w:rFonts w:ascii="Times New Roman" w:hAnsi="Times New Roman" w:cs="Times New Roman"/>
          <w:sz w:val="24"/>
          <w:szCs w:val="24"/>
        </w:rPr>
        <w:t>Talán hasznos lenne, ha a nagy nyilvánosság felé és tudnánk kommunikálni a program hasznosságát, akár a közösségi médiában, akár ismeretterjesztő rendezvényeken való részvétellel (pl. Kutatók éjszakája).</w:t>
      </w:r>
    </w:p>
    <w:sectPr w:rsidR="00351E9B" w:rsidRPr="00351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4484358B"/>
    <w:multiLevelType w:val="hybridMultilevel"/>
    <w:tmpl w:val="A1384CDA"/>
    <w:lvl w:ilvl="0" w:tplc="C960F57E">
      <w:start w:val="3"/>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49C66EEA"/>
    <w:multiLevelType w:val="hybridMultilevel"/>
    <w:tmpl w:val="2944822C"/>
    <w:lvl w:ilvl="0" w:tplc="6FF0D2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C6433E2"/>
    <w:multiLevelType w:val="hybridMultilevel"/>
    <w:tmpl w:val="51361962"/>
    <w:lvl w:ilvl="0" w:tplc="13B21994">
      <w:start w:val="1"/>
      <w:numFmt w:val="decimal"/>
      <w:lvlText w:val="%1)"/>
      <w:lvlJc w:val="left"/>
      <w:pPr>
        <w:tabs>
          <w:tab w:val="num" w:pos="720"/>
        </w:tabs>
        <w:ind w:left="720" w:hanging="360"/>
      </w:pPr>
    </w:lvl>
    <w:lvl w:ilvl="1" w:tplc="945C04D4" w:tentative="1">
      <w:start w:val="1"/>
      <w:numFmt w:val="decimal"/>
      <w:lvlText w:val="%2)"/>
      <w:lvlJc w:val="left"/>
      <w:pPr>
        <w:tabs>
          <w:tab w:val="num" w:pos="1440"/>
        </w:tabs>
        <w:ind w:left="1440" w:hanging="360"/>
      </w:pPr>
    </w:lvl>
    <w:lvl w:ilvl="2" w:tplc="78085C7C" w:tentative="1">
      <w:start w:val="1"/>
      <w:numFmt w:val="decimal"/>
      <w:lvlText w:val="%3)"/>
      <w:lvlJc w:val="left"/>
      <w:pPr>
        <w:tabs>
          <w:tab w:val="num" w:pos="2160"/>
        </w:tabs>
        <w:ind w:left="2160" w:hanging="360"/>
      </w:pPr>
    </w:lvl>
    <w:lvl w:ilvl="3" w:tplc="6C6A9D82" w:tentative="1">
      <w:start w:val="1"/>
      <w:numFmt w:val="decimal"/>
      <w:lvlText w:val="%4)"/>
      <w:lvlJc w:val="left"/>
      <w:pPr>
        <w:tabs>
          <w:tab w:val="num" w:pos="2880"/>
        </w:tabs>
        <w:ind w:left="2880" w:hanging="360"/>
      </w:pPr>
    </w:lvl>
    <w:lvl w:ilvl="4" w:tplc="07F4801A" w:tentative="1">
      <w:start w:val="1"/>
      <w:numFmt w:val="decimal"/>
      <w:lvlText w:val="%5)"/>
      <w:lvlJc w:val="left"/>
      <w:pPr>
        <w:tabs>
          <w:tab w:val="num" w:pos="3600"/>
        </w:tabs>
        <w:ind w:left="3600" w:hanging="360"/>
      </w:pPr>
    </w:lvl>
    <w:lvl w:ilvl="5" w:tplc="D1AAF06A" w:tentative="1">
      <w:start w:val="1"/>
      <w:numFmt w:val="decimal"/>
      <w:lvlText w:val="%6)"/>
      <w:lvlJc w:val="left"/>
      <w:pPr>
        <w:tabs>
          <w:tab w:val="num" w:pos="4320"/>
        </w:tabs>
        <w:ind w:left="4320" w:hanging="360"/>
      </w:pPr>
    </w:lvl>
    <w:lvl w:ilvl="6" w:tplc="9FF606A4" w:tentative="1">
      <w:start w:val="1"/>
      <w:numFmt w:val="decimal"/>
      <w:lvlText w:val="%7)"/>
      <w:lvlJc w:val="left"/>
      <w:pPr>
        <w:tabs>
          <w:tab w:val="num" w:pos="5040"/>
        </w:tabs>
        <w:ind w:left="5040" w:hanging="360"/>
      </w:pPr>
    </w:lvl>
    <w:lvl w:ilvl="7" w:tplc="0EC8733E" w:tentative="1">
      <w:start w:val="1"/>
      <w:numFmt w:val="decimal"/>
      <w:lvlText w:val="%8)"/>
      <w:lvlJc w:val="left"/>
      <w:pPr>
        <w:tabs>
          <w:tab w:val="num" w:pos="5760"/>
        </w:tabs>
        <w:ind w:left="5760" w:hanging="360"/>
      </w:pPr>
    </w:lvl>
    <w:lvl w:ilvl="8" w:tplc="B4DCF78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E2"/>
    <w:rsid w:val="0000369E"/>
    <w:rsid w:val="00052FE4"/>
    <w:rsid w:val="00181575"/>
    <w:rsid w:val="001A4863"/>
    <w:rsid w:val="0024267B"/>
    <w:rsid w:val="00262BCE"/>
    <w:rsid w:val="002B12E2"/>
    <w:rsid w:val="002D1898"/>
    <w:rsid w:val="002D422E"/>
    <w:rsid w:val="00332BA7"/>
    <w:rsid w:val="00340CDB"/>
    <w:rsid w:val="00351E9B"/>
    <w:rsid w:val="003A7C61"/>
    <w:rsid w:val="003D75C2"/>
    <w:rsid w:val="00526277"/>
    <w:rsid w:val="00543B39"/>
    <w:rsid w:val="005B4147"/>
    <w:rsid w:val="005D2B1D"/>
    <w:rsid w:val="00623A33"/>
    <w:rsid w:val="006D3FBF"/>
    <w:rsid w:val="006F4EA5"/>
    <w:rsid w:val="007A7B2E"/>
    <w:rsid w:val="007E0A36"/>
    <w:rsid w:val="007F675E"/>
    <w:rsid w:val="00805C17"/>
    <w:rsid w:val="008114B6"/>
    <w:rsid w:val="008A4BE4"/>
    <w:rsid w:val="008B3CA8"/>
    <w:rsid w:val="008C1316"/>
    <w:rsid w:val="008D6E53"/>
    <w:rsid w:val="008E588E"/>
    <w:rsid w:val="008F3331"/>
    <w:rsid w:val="009B0FC9"/>
    <w:rsid w:val="009B7D35"/>
    <w:rsid w:val="009D6E89"/>
    <w:rsid w:val="00A5618B"/>
    <w:rsid w:val="00B131D4"/>
    <w:rsid w:val="00B20373"/>
    <w:rsid w:val="00B4072B"/>
    <w:rsid w:val="00BB14E9"/>
    <w:rsid w:val="00C6572B"/>
    <w:rsid w:val="00D02F16"/>
    <w:rsid w:val="00D412D8"/>
    <w:rsid w:val="00E36FEF"/>
    <w:rsid w:val="00E40030"/>
    <w:rsid w:val="00F263E1"/>
    <w:rsid w:val="00F37A1B"/>
    <w:rsid w:val="00F5421B"/>
    <w:rsid w:val="00FE481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3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12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12E2"/>
    <w:pPr>
      <w:ind w:left="720"/>
      <w:contextualSpacing/>
    </w:pPr>
  </w:style>
  <w:style w:type="character" w:styleId="Hiperhivatkozs">
    <w:name w:val="Hyperlink"/>
    <w:basedOn w:val="Bekezdsalapbettpusa"/>
    <w:uiPriority w:val="99"/>
    <w:unhideWhenUsed/>
    <w:rsid w:val="006D3FBF"/>
    <w:rPr>
      <w:color w:val="0000FF" w:themeColor="hyperlink"/>
      <w:u w:val="single"/>
    </w:rPr>
  </w:style>
  <w:style w:type="table" w:styleId="Rcsostblzat">
    <w:name w:val="Table Grid"/>
    <w:basedOn w:val="Normltblzat"/>
    <w:rsid w:val="001A48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A4863"/>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1A4863"/>
    <w:rPr>
      <w:rFonts w:ascii="Lucida Grande CE" w:hAnsi="Lucida Grande CE" w:cs="Lucida Grande CE"/>
      <w:sz w:val="18"/>
      <w:szCs w:val="18"/>
    </w:rPr>
  </w:style>
  <w:style w:type="paragraph" w:styleId="NormlWeb">
    <w:name w:val="Normal (Web)"/>
    <w:basedOn w:val="Norml"/>
    <w:uiPriority w:val="99"/>
    <w:semiHidden/>
    <w:unhideWhenUsed/>
    <w:rsid w:val="008B3CA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B12E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12E2"/>
    <w:pPr>
      <w:ind w:left="720"/>
      <w:contextualSpacing/>
    </w:pPr>
  </w:style>
  <w:style w:type="character" w:styleId="Hiperhivatkozs">
    <w:name w:val="Hyperlink"/>
    <w:basedOn w:val="Bekezdsalapbettpusa"/>
    <w:uiPriority w:val="99"/>
    <w:unhideWhenUsed/>
    <w:rsid w:val="006D3FBF"/>
    <w:rPr>
      <w:color w:val="0000FF" w:themeColor="hyperlink"/>
      <w:u w:val="single"/>
    </w:rPr>
  </w:style>
  <w:style w:type="table" w:styleId="Rcsostblzat">
    <w:name w:val="Table Grid"/>
    <w:basedOn w:val="Normltblzat"/>
    <w:rsid w:val="001A486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1A4863"/>
    <w:pPr>
      <w:spacing w:after="0" w:line="240" w:lineRule="auto"/>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1A4863"/>
    <w:rPr>
      <w:rFonts w:ascii="Lucida Grande CE" w:hAnsi="Lucida Grande CE" w:cs="Lucida Grande CE"/>
      <w:sz w:val="18"/>
      <w:szCs w:val="18"/>
    </w:rPr>
  </w:style>
  <w:style w:type="paragraph" w:styleId="NormlWeb">
    <w:name w:val="Normal (Web)"/>
    <w:basedOn w:val="Norml"/>
    <w:uiPriority w:val="99"/>
    <w:semiHidden/>
    <w:unhideWhenUsed/>
    <w:rsid w:val="008B3CA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08476">
      <w:bodyDiv w:val="1"/>
      <w:marLeft w:val="0"/>
      <w:marRight w:val="0"/>
      <w:marTop w:val="0"/>
      <w:marBottom w:val="0"/>
      <w:divBdr>
        <w:top w:val="none" w:sz="0" w:space="0" w:color="auto"/>
        <w:left w:val="none" w:sz="0" w:space="0" w:color="auto"/>
        <w:bottom w:val="none" w:sz="0" w:space="0" w:color="auto"/>
        <w:right w:val="none" w:sz="0" w:space="0" w:color="auto"/>
      </w:divBdr>
    </w:div>
    <w:div w:id="17565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5703</Characters>
  <Application>Microsoft Office Word</Application>
  <DocSecurity>4</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perczel</cp:lastModifiedBy>
  <cp:revision>2</cp:revision>
  <dcterms:created xsi:type="dcterms:W3CDTF">2015-12-14T00:29:00Z</dcterms:created>
  <dcterms:modified xsi:type="dcterms:W3CDTF">2015-12-14T00:29:00Z</dcterms:modified>
</cp:coreProperties>
</file>