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6F" w:rsidRPr="0028276F" w:rsidRDefault="0028276F" w:rsidP="002827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282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Programozott sejthalál formák és kulcsfehérjéinek kapcsolata, fókuszban a </w:t>
      </w:r>
      <w:proofErr w:type="spellStart"/>
      <w:r w:rsidRPr="00282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ferroptózis</w:t>
      </w:r>
      <w:proofErr w:type="spellEnd"/>
      <w:r w:rsidRPr="00282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és az </w:t>
      </w:r>
      <w:proofErr w:type="spellStart"/>
      <w:r w:rsidRPr="00282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autofágia</w:t>
      </w:r>
      <w:proofErr w:type="spellEnd"/>
    </w:p>
    <w:p w:rsidR="007747DC" w:rsidRDefault="007747DC" w:rsidP="00CA3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3F" w:rsidRDefault="007C339A" w:rsidP="00CA3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468F">
        <w:rPr>
          <w:rFonts w:ascii="Times New Roman" w:hAnsi="Times New Roman" w:cs="Times New Roman"/>
          <w:sz w:val="24"/>
          <w:szCs w:val="24"/>
        </w:rPr>
        <w:t>özös munk</w:t>
      </w:r>
      <w:r w:rsidR="00FC0CC6">
        <w:rPr>
          <w:rFonts w:ascii="Times New Roman" w:hAnsi="Times New Roman" w:cs="Times New Roman"/>
          <w:sz w:val="24"/>
          <w:szCs w:val="24"/>
        </w:rPr>
        <w:t>ánk</w:t>
      </w:r>
      <w:r w:rsidR="00DE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elsődleges </w:t>
      </w:r>
      <w:r w:rsidR="00FC0CC6">
        <w:rPr>
          <w:rFonts w:ascii="Times New Roman" w:hAnsi="Times New Roman" w:cs="Times New Roman"/>
          <w:sz w:val="24"/>
          <w:szCs w:val="24"/>
        </w:rPr>
        <w:t xml:space="preserve">célja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FC0CC6">
        <w:rPr>
          <w:rFonts w:ascii="Times New Roman" w:hAnsi="Times New Roman" w:cs="Times New Roman"/>
          <w:sz w:val="24"/>
          <w:szCs w:val="24"/>
        </w:rPr>
        <w:t>volt</w:t>
      </w:r>
      <w:r w:rsidR="00DE468F">
        <w:rPr>
          <w:rFonts w:ascii="Times New Roman" w:hAnsi="Times New Roman" w:cs="Times New Roman"/>
          <w:sz w:val="24"/>
          <w:szCs w:val="24"/>
        </w:rPr>
        <w:t>, hogy az</w:t>
      </w:r>
      <w:r w:rsidR="00CA313F">
        <w:rPr>
          <w:rFonts w:ascii="Times New Roman" w:hAnsi="Times New Roman" w:cs="Times New Roman"/>
          <w:sz w:val="24"/>
          <w:szCs w:val="24"/>
        </w:rPr>
        <w:t xml:space="preserve"> új sejthalál form</w:t>
      </w:r>
      <w:r w:rsidR="00DE468F">
        <w:rPr>
          <w:rFonts w:ascii="Times New Roman" w:hAnsi="Times New Roman" w:cs="Times New Roman"/>
          <w:sz w:val="24"/>
          <w:szCs w:val="24"/>
        </w:rPr>
        <w:t>át</w:t>
      </w:r>
      <w:r w:rsidR="00CA31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ferroptózis</w:t>
      </w:r>
      <w:r w:rsidR="00DE468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elhelyez</w:t>
      </w:r>
      <w:r w:rsidR="00DE468F">
        <w:rPr>
          <w:rFonts w:ascii="Times New Roman" w:hAnsi="Times New Roman" w:cs="Times New Roman"/>
          <w:sz w:val="24"/>
          <w:szCs w:val="24"/>
        </w:rPr>
        <w:t>zük</w:t>
      </w:r>
      <w:r w:rsidR="00FC0CC6">
        <w:rPr>
          <w:rFonts w:ascii="Times New Roman" w:hAnsi="Times New Roman" w:cs="Times New Roman"/>
          <w:sz w:val="24"/>
          <w:szCs w:val="24"/>
        </w:rPr>
        <w:t xml:space="preserve"> a többi </w:t>
      </w:r>
      <w:r w:rsidR="00CA313F">
        <w:rPr>
          <w:rFonts w:ascii="Times New Roman" w:hAnsi="Times New Roman" w:cs="Times New Roman"/>
          <w:sz w:val="24"/>
          <w:szCs w:val="24"/>
        </w:rPr>
        <w:t>sejthalálforma (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) között. </w:t>
      </w:r>
      <w:r w:rsidR="00DE468F">
        <w:rPr>
          <w:rFonts w:ascii="Times New Roman" w:hAnsi="Times New Roman" w:cs="Times New Roman"/>
          <w:sz w:val="24"/>
          <w:szCs w:val="24"/>
        </w:rPr>
        <w:t>Ehhez</w:t>
      </w:r>
      <w:r w:rsidR="00CA313F">
        <w:rPr>
          <w:rFonts w:ascii="Times New Roman" w:hAnsi="Times New Roman" w:cs="Times New Roman"/>
          <w:sz w:val="24"/>
          <w:szCs w:val="24"/>
        </w:rPr>
        <w:t xml:space="preserve"> HepG2 sejteket kezeltünk a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ferroptózist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kiváltó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erastinnel</w:t>
      </w:r>
      <w:proofErr w:type="spellEnd"/>
      <w:r w:rsidR="00FC0CC6">
        <w:rPr>
          <w:rFonts w:ascii="Times New Roman" w:hAnsi="Times New Roman" w:cs="Times New Roman"/>
          <w:sz w:val="24"/>
          <w:szCs w:val="24"/>
        </w:rPr>
        <w:t>. R</w:t>
      </w:r>
      <w:r w:rsidR="00DE468F">
        <w:rPr>
          <w:rFonts w:ascii="Times New Roman" w:hAnsi="Times New Roman" w:cs="Times New Roman"/>
          <w:sz w:val="24"/>
          <w:szCs w:val="24"/>
        </w:rPr>
        <w:t>endszeres időközönként</w:t>
      </w:r>
      <w:r w:rsidR="00CA313F">
        <w:rPr>
          <w:rFonts w:ascii="Times New Roman" w:hAnsi="Times New Roman" w:cs="Times New Roman"/>
          <w:sz w:val="24"/>
          <w:szCs w:val="24"/>
        </w:rPr>
        <w:t xml:space="preserve"> fehérjemintákat vettünk, ille</w:t>
      </w:r>
      <w:r w:rsidR="00AA648D">
        <w:rPr>
          <w:rFonts w:ascii="Times New Roman" w:hAnsi="Times New Roman" w:cs="Times New Roman"/>
          <w:sz w:val="24"/>
          <w:szCs w:val="24"/>
        </w:rPr>
        <w:t xml:space="preserve">tve nyomon követtük a GSH </w:t>
      </w:r>
      <w:r w:rsidR="00CA313F">
        <w:rPr>
          <w:rFonts w:ascii="Times New Roman" w:hAnsi="Times New Roman" w:cs="Times New Roman"/>
          <w:sz w:val="24"/>
          <w:szCs w:val="24"/>
        </w:rPr>
        <w:t>(mint legfontosab</w:t>
      </w:r>
      <w:bookmarkStart w:id="0" w:name="_GoBack"/>
      <w:bookmarkEnd w:id="0"/>
      <w:r w:rsidR="00CA313F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kapcsoló)</w:t>
      </w:r>
      <w:r w:rsidR="00CA313F" w:rsidRPr="00953E0D">
        <w:rPr>
          <w:rFonts w:ascii="Times New Roman" w:hAnsi="Times New Roman" w:cs="Times New Roman"/>
          <w:sz w:val="24"/>
          <w:szCs w:val="24"/>
        </w:rPr>
        <w:t xml:space="preserve"> </w:t>
      </w:r>
      <w:r w:rsidR="00CA313F">
        <w:rPr>
          <w:rFonts w:ascii="Times New Roman" w:hAnsi="Times New Roman" w:cs="Times New Roman"/>
          <w:sz w:val="24"/>
          <w:szCs w:val="24"/>
        </w:rPr>
        <w:t>szintjét. A</w:t>
      </w:r>
      <w:r w:rsidR="00FC0CC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C0CC6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="00FC0CC6">
        <w:rPr>
          <w:rFonts w:ascii="Times New Roman" w:hAnsi="Times New Roman" w:cs="Times New Roman"/>
          <w:sz w:val="24"/>
          <w:szCs w:val="24"/>
        </w:rPr>
        <w:t xml:space="preserve"> </w:t>
      </w:r>
      <w:r w:rsidR="00CA313F">
        <w:rPr>
          <w:rFonts w:ascii="Times New Roman" w:hAnsi="Times New Roman" w:cs="Times New Roman"/>
          <w:sz w:val="24"/>
          <w:szCs w:val="24"/>
        </w:rPr>
        <w:t>marker</w:t>
      </w:r>
      <w:r w:rsidR="00AA64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CA313F">
        <w:rPr>
          <w:rFonts w:ascii="Times New Roman" w:hAnsi="Times New Roman" w:cs="Times New Roman"/>
          <w:sz w:val="24"/>
          <w:szCs w:val="24"/>
        </w:rPr>
        <w:t xml:space="preserve"> szintje az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kezelést követően </w:t>
      </w:r>
      <w:r w:rsidR="00FC0CC6">
        <w:rPr>
          <w:rFonts w:ascii="Times New Roman" w:hAnsi="Times New Roman" w:cs="Times New Roman"/>
          <w:sz w:val="24"/>
          <w:szCs w:val="24"/>
        </w:rPr>
        <w:t>tranziens növekedést mutat</w:t>
      </w:r>
      <w:r>
        <w:rPr>
          <w:rFonts w:ascii="Times New Roman" w:hAnsi="Times New Roman" w:cs="Times New Roman"/>
          <w:sz w:val="24"/>
          <w:szCs w:val="24"/>
        </w:rPr>
        <w:t>nak</w:t>
      </w:r>
      <w:r w:rsidR="00AA648D">
        <w:rPr>
          <w:rFonts w:ascii="Times New Roman" w:hAnsi="Times New Roman" w:cs="Times New Roman"/>
          <w:sz w:val="24"/>
          <w:szCs w:val="24"/>
        </w:rPr>
        <w:t>, u</w:t>
      </w:r>
      <w:r w:rsidR="00FC0CC6">
        <w:rPr>
          <w:rFonts w:ascii="Times New Roman" w:hAnsi="Times New Roman" w:cs="Times New Roman"/>
          <w:sz w:val="24"/>
          <w:szCs w:val="24"/>
        </w:rPr>
        <w:t xml:space="preserve">gyanakkor </w:t>
      </w:r>
      <w:r w:rsidR="0060532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620C8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5620C8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="005620C8"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 w:rsidR="005620C8">
        <w:rPr>
          <w:rFonts w:ascii="Times New Roman" w:hAnsi="Times New Roman" w:cs="Times New Roman"/>
          <w:sz w:val="24"/>
          <w:szCs w:val="24"/>
        </w:rPr>
        <w:t xml:space="preserve"> csak a kezelés végén aktiválódott. </w:t>
      </w:r>
      <w:r>
        <w:rPr>
          <w:rFonts w:ascii="Times New Roman" w:hAnsi="Times New Roman" w:cs="Times New Roman"/>
          <w:sz w:val="24"/>
          <w:szCs w:val="24"/>
        </w:rPr>
        <w:t>Érdekes módon</w:t>
      </w:r>
      <w:r w:rsidR="0056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C6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="00FC0CC6">
        <w:rPr>
          <w:rFonts w:ascii="Times New Roman" w:hAnsi="Times New Roman" w:cs="Times New Roman"/>
          <w:sz w:val="24"/>
          <w:szCs w:val="24"/>
        </w:rPr>
        <w:t xml:space="preserve"> aktiváció</w:t>
      </w:r>
      <w:r w:rsidR="00AA648D">
        <w:rPr>
          <w:rFonts w:ascii="Times New Roman" w:hAnsi="Times New Roman" w:cs="Times New Roman"/>
          <w:sz w:val="24"/>
          <w:szCs w:val="24"/>
        </w:rPr>
        <w:t>t</w:t>
      </w:r>
      <w:r w:rsidR="00FC0CC6">
        <w:rPr>
          <w:rFonts w:ascii="Times New Roman" w:hAnsi="Times New Roman" w:cs="Times New Roman"/>
          <w:sz w:val="24"/>
          <w:szCs w:val="24"/>
        </w:rPr>
        <w:t xml:space="preserve"> nem </w:t>
      </w:r>
      <w:r w:rsidR="00AA648D">
        <w:rPr>
          <w:rFonts w:ascii="Times New Roman" w:hAnsi="Times New Roman" w:cs="Times New Roman"/>
          <w:sz w:val="24"/>
          <w:szCs w:val="24"/>
        </w:rPr>
        <w:t>tapasztaltunk</w:t>
      </w:r>
      <w:r w:rsidR="00A07F17">
        <w:rPr>
          <w:rFonts w:ascii="Times New Roman" w:hAnsi="Times New Roman" w:cs="Times New Roman"/>
          <w:sz w:val="24"/>
          <w:szCs w:val="24"/>
        </w:rPr>
        <w:t xml:space="preserve">. A sejtek GSH szintje 2 órával a kezelést követően 50%-ra, 4 órával a kezelést követően 12%-ra, 6 órával a kezelést követően 5%-ra csökkent, majd a detektálási határ alá csökkent. </w:t>
      </w:r>
      <w:r w:rsidR="00CA313F">
        <w:rPr>
          <w:rFonts w:ascii="Times New Roman" w:hAnsi="Times New Roman" w:cs="Times New Roman"/>
          <w:sz w:val="24"/>
          <w:szCs w:val="24"/>
        </w:rPr>
        <w:t xml:space="preserve">Ezen túl a GSH szint hanyatlásával párhuzamosan a JNK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foszforilációját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is meg tudtuk megfigy</w:t>
      </w:r>
      <w:r w:rsidR="00A07F17">
        <w:rPr>
          <w:rFonts w:ascii="Times New Roman" w:hAnsi="Times New Roman" w:cs="Times New Roman"/>
          <w:sz w:val="24"/>
          <w:szCs w:val="24"/>
        </w:rPr>
        <w:t xml:space="preserve">elni </w:t>
      </w:r>
      <w:proofErr w:type="spellStart"/>
      <w:r w:rsidR="00A07F17"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 w:rsidR="00A07F17">
        <w:rPr>
          <w:rFonts w:ascii="Times New Roman" w:hAnsi="Times New Roman" w:cs="Times New Roman"/>
          <w:sz w:val="24"/>
          <w:szCs w:val="24"/>
        </w:rPr>
        <w:t xml:space="preserve"> kezelést követően. Érdekes módon az életképesség csökkenésével párhuzamosan nem tapasztaltunk jelentős mértékű LDH kiáramlást, ami arra utalhat, hogy a </w:t>
      </w:r>
      <w:proofErr w:type="spellStart"/>
      <w:r w:rsidR="00A07F17">
        <w:rPr>
          <w:rFonts w:ascii="Times New Roman" w:hAnsi="Times New Roman" w:cs="Times New Roman"/>
          <w:sz w:val="24"/>
          <w:szCs w:val="24"/>
        </w:rPr>
        <w:t>ferroptotikus</w:t>
      </w:r>
      <w:proofErr w:type="spellEnd"/>
      <w:r w:rsidR="00A07F17">
        <w:rPr>
          <w:rFonts w:ascii="Times New Roman" w:hAnsi="Times New Roman" w:cs="Times New Roman"/>
          <w:sz w:val="24"/>
          <w:szCs w:val="24"/>
        </w:rPr>
        <w:t xml:space="preserve"> sejthalál során a sejtmembrán többé-kevésbé sértetlen marad. </w:t>
      </w:r>
      <w:r w:rsidR="00CA313F">
        <w:rPr>
          <w:rFonts w:ascii="Times New Roman" w:hAnsi="Times New Roman" w:cs="Times New Roman"/>
          <w:sz w:val="24"/>
          <w:szCs w:val="24"/>
        </w:rPr>
        <w:t xml:space="preserve">Eredményeink arra utalnak, hogy a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és a</w:t>
      </w:r>
      <w:r w:rsidR="00FC0CC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C0CC6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="00FC0CC6">
        <w:rPr>
          <w:rFonts w:ascii="Times New Roman" w:hAnsi="Times New Roman" w:cs="Times New Roman"/>
          <w:sz w:val="24"/>
          <w:szCs w:val="24"/>
        </w:rPr>
        <w:t xml:space="preserve"> illetve a</w:t>
      </w:r>
      <w:r w:rsidR="00CA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között valamilyen kapcsolat állhat fenn. Az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rezisztens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mtDNS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fosztott, HepG2 Rho0 sejtek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induktor kezelés hatására a RIP3 szintjének növekedésével reagálnak, ami arra utal, hogy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helyett ezen sejtek </w:t>
      </w:r>
      <w:proofErr w:type="spellStart"/>
      <w:r w:rsidR="00CA313F"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 w:rsidR="00CA313F">
        <w:rPr>
          <w:rFonts w:ascii="Times New Roman" w:hAnsi="Times New Roman" w:cs="Times New Roman"/>
          <w:sz w:val="24"/>
          <w:szCs w:val="24"/>
        </w:rPr>
        <w:t xml:space="preserve"> útvonalra kapcsolnak át.</w:t>
      </w:r>
    </w:p>
    <w:p w:rsidR="00135F70" w:rsidRDefault="00135F70" w:rsidP="00CA3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1C" w:rsidRDefault="00542A1C" w:rsidP="00542A1C"/>
    <w:p w:rsidR="00542A1C" w:rsidRDefault="00542A1C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276F" w:rsidRPr="00121760" w:rsidRDefault="0028276F" w:rsidP="00CA3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E7CA5" w:rsidRDefault="00CE7CA5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A5" w:rsidRDefault="00CE7CA5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CE7CA5" w:rsidRPr="00332BA7" w:rsidRDefault="00CE7CA5" w:rsidP="00CE7CA5">
      <w:pPr>
        <w:jc w:val="center"/>
        <w:rPr>
          <w:rFonts w:ascii="Times New Roman" w:hAnsi="Times New Roman" w:cs="Times New Roman"/>
          <w:b/>
          <w:bCs/>
        </w:rPr>
      </w:pPr>
    </w:p>
    <w:p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Adják meg a támogatott szinergia programjuk címét és szakmai fókuszpontját</w:t>
      </w:r>
    </w:p>
    <w:p w:rsidR="00C32B65" w:rsidRPr="00C32B65" w:rsidRDefault="00C32B65" w:rsidP="00C32B65">
      <w:pPr>
        <w:rPr>
          <w:rFonts w:ascii="Times New Roman" w:hAnsi="Times New Roman" w:cs="Times New Roman"/>
          <w:bCs/>
          <w:sz w:val="24"/>
          <w:szCs w:val="24"/>
        </w:rPr>
      </w:pPr>
      <w:r w:rsidRPr="00C32B65">
        <w:rPr>
          <w:rFonts w:ascii="Times New Roman" w:hAnsi="Times New Roman" w:cs="Times New Roman"/>
          <w:bCs/>
          <w:sz w:val="24"/>
          <w:szCs w:val="24"/>
        </w:rPr>
        <w:t xml:space="preserve">Szinergia program címe: Programozott sejthalál formák és kulcsfehérjéinek kapcsolata, fókuszban a </w:t>
      </w:r>
      <w:proofErr w:type="spellStart"/>
      <w:r w:rsidRPr="00C32B65">
        <w:rPr>
          <w:rFonts w:ascii="Times New Roman" w:hAnsi="Times New Roman" w:cs="Times New Roman"/>
          <w:bCs/>
          <w:sz w:val="24"/>
          <w:szCs w:val="24"/>
        </w:rPr>
        <w:t>ferroptózis</w:t>
      </w:r>
      <w:proofErr w:type="spellEnd"/>
      <w:r w:rsidRPr="00C32B65">
        <w:rPr>
          <w:rFonts w:ascii="Times New Roman" w:hAnsi="Times New Roman" w:cs="Times New Roman"/>
          <w:bCs/>
          <w:sz w:val="24"/>
          <w:szCs w:val="24"/>
        </w:rPr>
        <w:t xml:space="preserve"> és az </w:t>
      </w:r>
      <w:proofErr w:type="spellStart"/>
      <w:r w:rsidRPr="00C32B65">
        <w:rPr>
          <w:rFonts w:ascii="Times New Roman" w:hAnsi="Times New Roman" w:cs="Times New Roman"/>
          <w:bCs/>
          <w:sz w:val="24"/>
          <w:szCs w:val="24"/>
        </w:rPr>
        <w:t>autofágia</w:t>
      </w:r>
      <w:proofErr w:type="spellEnd"/>
    </w:p>
    <w:p w:rsidR="00C32B65" w:rsidRPr="00C32B65" w:rsidRDefault="00C32B65" w:rsidP="00C32B65">
      <w:pPr>
        <w:rPr>
          <w:rFonts w:ascii="Times New Roman" w:hAnsi="Times New Roman" w:cs="Times New Roman"/>
          <w:sz w:val="24"/>
          <w:szCs w:val="24"/>
        </w:rPr>
      </w:pPr>
      <w:r w:rsidRPr="00C32B65">
        <w:rPr>
          <w:rFonts w:ascii="Times New Roman" w:hAnsi="Times New Roman" w:cs="Times New Roman"/>
          <w:bCs/>
          <w:sz w:val="24"/>
          <w:szCs w:val="24"/>
        </w:rPr>
        <w:t xml:space="preserve">Szakmai fókuszpontok: </w:t>
      </w:r>
      <w:r w:rsidRPr="00C32B65">
        <w:rPr>
          <w:rFonts w:ascii="Times New Roman" w:hAnsi="Times New Roman" w:cs="Times New Roman"/>
          <w:sz w:val="24"/>
          <w:szCs w:val="24"/>
        </w:rPr>
        <w:t>jelátviteli fehérjék s</w:t>
      </w:r>
      <w:r>
        <w:rPr>
          <w:rFonts w:ascii="Times New Roman" w:hAnsi="Times New Roman" w:cs="Times New Roman"/>
          <w:sz w:val="24"/>
          <w:szCs w:val="24"/>
        </w:rPr>
        <w:t xml:space="preserve">zerepe gyulladásos és daganatos </w:t>
      </w:r>
      <w:r w:rsidRPr="00C32B65">
        <w:rPr>
          <w:rFonts w:ascii="Times New Roman" w:hAnsi="Times New Roman" w:cs="Times New Roman"/>
          <w:sz w:val="24"/>
          <w:szCs w:val="24"/>
        </w:rPr>
        <w:t>megbetegedésekben; szabályozó fehérjék szere</w:t>
      </w:r>
      <w:r>
        <w:rPr>
          <w:rFonts w:ascii="Times New Roman" w:hAnsi="Times New Roman" w:cs="Times New Roman"/>
          <w:sz w:val="24"/>
          <w:szCs w:val="24"/>
        </w:rPr>
        <w:t xml:space="preserve">pe az öregedési </w:t>
      </w:r>
      <w:proofErr w:type="gramStart"/>
      <w:r>
        <w:rPr>
          <w:rFonts w:ascii="Times New Roman" w:hAnsi="Times New Roman" w:cs="Times New Roman"/>
          <w:sz w:val="24"/>
          <w:szCs w:val="24"/>
        </w:rPr>
        <w:t>folyamat(</w:t>
      </w:r>
      <w:proofErr w:type="gramEnd"/>
      <w:r>
        <w:rPr>
          <w:rFonts w:ascii="Times New Roman" w:hAnsi="Times New Roman" w:cs="Times New Roman"/>
          <w:sz w:val="24"/>
          <w:szCs w:val="24"/>
        </w:rPr>
        <w:t>ok)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</w:p>
    <w:p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 w:rsidR="00C32B65">
        <w:rPr>
          <w:rFonts w:ascii="Times New Roman" w:hAnsi="Times New Roman" w:cs="Times New Roman"/>
          <w:sz w:val="24"/>
          <w:szCs w:val="24"/>
        </w:rPr>
        <w:t>címét</w:t>
      </w:r>
    </w:p>
    <w:p w:rsidR="00C32B65" w:rsidRDefault="00C32B65" w:rsidP="00C3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Orsolya, egyetemi adjunktus, kapuy.orsolya@med.semmelweis-univ.hu</w:t>
      </w:r>
    </w:p>
    <w:p w:rsidR="00C32B65" w:rsidRPr="00C32B65" w:rsidRDefault="00C32B65" w:rsidP="00C3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Szarka András, egyetemi docens, szarka@mail.bme.hu</w:t>
      </w:r>
    </w:p>
    <w:p w:rsidR="00CE7CA5" w:rsidRPr="00C32B6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Csatolják a </w:t>
      </w:r>
      <w:proofErr w:type="spellStart"/>
      <w:r w:rsidRPr="00F5421B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F5421B">
        <w:rPr>
          <w:rFonts w:ascii="Times New Roman" w:hAnsi="Times New Roman" w:cs="Times New Roman"/>
          <w:sz w:val="24"/>
          <w:szCs w:val="24"/>
        </w:rPr>
        <w:t xml:space="preserve"> programnak köszönhetően </w:t>
      </w:r>
      <w:r>
        <w:rPr>
          <w:rFonts w:ascii="Times New Roman" w:hAnsi="Times New Roman" w:cs="Times New Roman"/>
          <w:sz w:val="24"/>
          <w:szCs w:val="24"/>
        </w:rPr>
        <w:t>elkészült tudományos közleményeik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4BE4">
        <w:rPr>
          <w:rFonts w:ascii="Times New Roman" w:hAnsi="Times New Roman"/>
          <w:sz w:val="24"/>
          <w:szCs w:val="24"/>
        </w:rPr>
        <w:t>szakmai megjelenésük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>
        <w:rPr>
          <w:rFonts w:ascii="Times New Roman" w:hAnsi="Times New Roman"/>
          <w:sz w:val="24"/>
          <w:szCs w:val="24"/>
        </w:rPr>
        <w:t>pdf-ét</w:t>
      </w:r>
      <w:proofErr w:type="spellEnd"/>
      <w:r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Pr="008A4BE4">
        <w:rPr>
          <w:rFonts w:ascii="Times New Roman" w:hAnsi="Times New Roman"/>
          <w:sz w:val="24"/>
          <w:szCs w:val="24"/>
        </w:rPr>
        <w:t xml:space="preserve">Minden </w:t>
      </w:r>
      <w:r>
        <w:rPr>
          <w:rFonts w:ascii="Times New Roman" w:hAnsi="Times New Roman"/>
          <w:sz w:val="24"/>
          <w:szCs w:val="24"/>
        </w:rPr>
        <w:t xml:space="preserve">publikáció </w:t>
      </w:r>
      <w:r w:rsidRPr="008A4BE4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eté</w:t>
      </w:r>
      <w:r w:rsidRPr="008A4BE4">
        <w:rPr>
          <w:rFonts w:ascii="Times New Roman" w:hAnsi="Times New Roman"/>
          <w:sz w:val="24"/>
          <w:szCs w:val="24"/>
        </w:rPr>
        <w:t xml:space="preserve">ben fejtsék ki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 w:rsidRPr="008A4BE4">
        <w:rPr>
          <w:rFonts w:ascii="Times New Roman" w:hAnsi="Times New Roman"/>
          <w:sz w:val="24"/>
          <w:szCs w:val="24"/>
        </w:rPr>
        <w:t xml:space="preserve"> mondatban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relevanciáját. </w:t>
      </w:r>
    </w:p>
    <w:p w:rsidR="00C32B65" w:rsidRPr="00C32B65" w:rsidRDefault="00983C8A" w:rsidP="00C3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megjelölésével 2 benyújtott kézirat készült el. Egyiket kisebb szövegbeli módosításokkal elfogadták (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másik jelenleg bírálat alatt van (J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Amint elfogadásra kerülnek, illetve bibliográfiai adatokkal rendelkeznek,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fájlokkal egyetemben elküldjük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számára. </w:t>
      </w:r>
    </w:p>
    <w:p w:rsidR="00CE7CA5" w:rsidRPr="00CA313F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CA313F" w:rsidRPr="00CA313F" w:rsidRDefault="00CA313F" w:rsidP="00CA313F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3F">
        <w:rPr>
          <w:rFonts w:ascii="Times New Roman" w:hAnsi="Times New Roman" w:cs="Times New Roman"/>
          <w:i/>
          <w:iCs/>
          <w:sz w:val="24"/>
          <w:szCs w:val="24"/>
        </w:rPr>
        <w:t>Az általunk tanulmányoz</w:t>
      </w:r>
      <w:r>
        <w:rPr>
          <w:rFonts w:ascii="Times New Roman" w:hAnsi="Times New Roman" w:cs="Times New Roman"/>
          <w:i/>
          <w:iCs/>
          <w:sz w:val="24"/>
          <w:szCs w:val="24"/>
        </w:rPr>
        <w:t>ott</w:t>
      </w:r>
      <w:r w:rsidRPr="00CA313F">
        <w:rPr>
          <w:rFonts w:ascii="Times New Roman" w:hAnsi="Times New Roman" w:cs="Times New Roman"/>
          <w:i/>
          <w:iCs/>
          <w:sz w:val="24"/>
          <w:szCs w:val="24"/>
        </w:rPr>
        <w:t xml:space="preserve"> sejthalál folyamatok (</w:t>
      </w:r>
      <w:proofErr w:type="spellStart"/>
      <w:r w:rsidRPr="00CA313F">
        <w:rPr>
          <w:rFonts w:ascii="Times New Roman" w:hAnsi="Times New Roman" w:cs="Times New Roman"/>
          <w:i/>
          <w:iCs/>
          <w:sz w:val="24"/>
          <w:szCs w:val="24"/>
        </w:rPr>
        <w:t>autofágia</w:t>
      </w:r>
      <w:proofErr w:type="spellEnd"/>
      <w:r w:rsidRPr="00CA31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313F">
        <w:rPr>
          <w:rFonts w:ascii="Times New Roman" w:hAnsi="Times New Roman" w:cs="Times New Roman"/>
          <w:i/>
          <w:iCs/>
          <w:sz w:val="24"/>
          <w:szCs w:val="24"/>
        </w:rPr>
        <w:t>ferroptózis</w:t>
      </w:r>
      <w:proofErr w:type="spellEnd"/>
      <w:r w:rsidRPr="00CA313F">
        <w:rPr>
          <w:rFonts w:ascii="Times New Roman" w:hAnsi="Times New Roman" w:cs="Times New Roman"/>
          <w:i/>
          <w:iCs/>
          <w:sz w:val="24"/>
          <w:szCs w:val="24"/>
        </w:rPr>
        <w:t xml:space="preserve">) szervesen kapcsolódnak két </w:t>
      </w:r>
      <w:proofErr w:type="spellStart"/>
      <w:r w:rsidRPr="00CA313F">
        <w:rPr>
          <w:rFonts w:ascii="Times New Roman" w:hAnsi="Times New Roman" w:cs="Times New Roman"/>
          <w:i/>
          <w:iCs/>
          <w:sz w:val="24"/>
          <w:szCs w:val="24"/>
        </w:rPr>
        <w:t>MedinProt</w:t>
      </w:r>
      <w:proofErr w:type="spellEnd"/>
      <w:r w:rsidRPr="00CA313F">
        <w:rPr>
          <w:rFonts w:ascii="Times New Roman" w:hAnsi="Times New Roman" w:cs="Times New Roman"/>
          <w:i/>
          <w:iCs/>
          <w:sz w:val="24"/>
          <w:szCs w:val="24"/>
        </w:rPr>
        <w:t xml:space="preserve"> fókuszponthoz is, úgymint</w:t>
      </w:r>
      <w:r w:rsidRPr="00CA313F">
        <w:rPr>
          <w:rFonts w:ascii="Times New Roman" w:hAnsi="Times New Roman" w:cs="Times New Roman"/>
          <w:i/>
          <w:sz w:val="24"/>
          <w:szCs w:val="24"/>
        </w:rPr>
        <w:t xml:space="preserve"> „Jelátviteli fehérjék szerepe gyulladásos és daganatos megbetegedésekben” és „Szabályozó fehérjék szerepe az öregedési </w:t>
      </w:r>
      <w:proofErr w:type="gramStart"/>
      <w:r w:rsidRPr="00CA313F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CA313F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”. Korábban igazolták, hogy mind az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autofágia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függő önemésztés, mind a vasfüggő,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redox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egyensúly felborulása által indukált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ferroptózis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szorosan köthető bizonyos daganatos betegségek kialakulásához, ugyanakkor a pontos mechanizmus még nem minden részletében ismert.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Autofágia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esetében egy érdekes kettősséget is megfigyeltek, nevezetesen, hogy </w:t>
      </w:r>
      <w:proofErr w:type="gramStart"/>
      <w:r w:rsidRPr="00CA313F">
        <w:rPr>
          <w:rFonts w:ascii="Times New Roman" w:hAnsi="Times New Roman" w:cs="Times New Roman"/>
          <w:i/>
          <w:sz w:val="24"/>
          <w:szCs w:val="24"/>
        </w:rPr>
        <w:t>ezen</w:t>
      </w:r>
      <w:proofErr w:type="gram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sejthalál típus nemcsak a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tumor-szupresszióban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játszhat kulcsszerepet, de ugyancsak indukálhatja a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tumorsejtek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növekedését azáltal, hogy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hipoxiás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környezetben tápanyagokat tud biz</w:t>
      </w:r>
      <w:r w:rsidR="005545CC">
        <w:rPr>
          <w:rFonts w:ascii="Times New Roman" w:hAnsi="Times New Roman" w:cs="Times New Roman"/>
          <w:i/>
          <w:sz w:val="24"/>
          <w:szCs w:val="24"/>
        </w:rPr>
        <w:t>tosítani a sejt számára. Éppen e</w:t>
      </w:r>
      <w:r w:rsidRPr="00CA313F">
        <w:rPr>
          <w:rFonts w:ascii="Times New Roman" w:hAnsi="Times New Roman" w:cs="Times New Roman"/>
          <w:i/>
          <w:sz w:val="24"/>
          <w:szCs w:val="24"/>
        </w:rPr>
        <w:t xml:space="preserve">zért az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autofágiát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irányító kulcsfehérjék és azok célirányainak azonosítása különböző stressz hatásokra kulcsszerepet játszhat a folyamat daganatos betegségek szabályozásában betöltött szerepében. </w:t>
      </w:r>
      <w:r w:rsidRPr="00CA313F">
        <w:rPr>
          <w:rFonts w:ascii="Times New Roman" w:hAnsi="Times New Roman" w:cs="Times New Roman"/>
          <w:i/>
        </w:rPr>
        <w:t xml:space="preserve">A </w:t>
      </w:r>
      <w:proofErr w:type="spellStart"/>
      <w:r w:rsidRPr="00CA313F">
        <w:rPr>
          <w:rFonts w:ascii="Times New Roman" w:hAnsi="Times New Roman" w:cs="Times New Roman"/>
          <w:i/>
        </w:rPr>
        <w:t>ferroptózist</w:t>
      </w:r>
      <w:proofErr w:type="spellEnd"/>
      <w:r w:rsidRPr="00CA313F">
        <w:rPr>
          <w:rFonts w:ascii="Times New Roman" w:hAnsi="Times New Roman" w:cs="Times New Roman"/>
          <w:i/>
        </w:rPr>
        <w:t xml:space="preserve">, illetve a </w:t>
      </w:r>
      <w:proofErr w:type="spellStart"/>
      <w:r w:rsidRPr="00CA313F">
        <w:rPr>
          <w:rFonts w:ascii="Times New Roman" w:hAnsi="Times New Roman" w:cs="Times New Roman"/>
          <w:i/>
        </w:rPr>
        <w:t>ferroptózist</w:t>
      </w:r>
      <w:proofErr w:type="spellEnd"/>
      <w:r w:rsidRPr="00CA313F">
        <w:rPr>
          <w:rFonts w:ascii="Times New Roman" w:hAnsi="Times New Roman" w:cs="Times New Roman"/>
          <w:i/>
        </w:rPr>
        <w:t xml:space="preserve"> kiváltó </w:t>
      </w:r>
      <w:proofErr w:type="spellStart"/>
      <w:r w:rsidRPr="00CA313F">
        <w:rPr>
          <w:rFonts w:ascii="Times New Roman" w:hAnsi="Times New Roman" w:cs="Times New Roman"/>
          <w:i/>
        </w:rPr>
        <w:t>erasztint</w:t>
      </w:r>
      <w:proofErr w:type="spellEnd"/>
      <w:r w:rsidRPr="00CA313F">
        <w:rPr>
          <w:rFonts w:ascii="Times New Roman" w:hAnsi="Times New Roman" w:cs="Times New Roman"/>
          <w:i/>
        </w:rPr>
        <w:t xml:space="preserve"> és RSL3-at (RSL: </w:t>
      </w:r>
      <w:proofErr w:type="spellStart"/>
      <w:r w:rsidRPr="00CA313F">
        <w:rPr>
          <w:rFonts w:ascii="Times New Roman" w:hAnsi="Times New Roman" w:cs="Times New Roman"/>
          <w:i/>
        </w:rPr>
        <w:t>RAS-selective</w:t>
      </w:r>
      <w:proofErr w:type="spellEnd"/>
      <w:r w:rsidRPr="00CA313F">
        <w:rPr>
          <w:rFonts w:ascii="Times New Roman" w:hAnsi="Times New Roman" w:cs="Times New Roman"/>
          <w:i/>
        </w:rPr>
        <w:t xml:space="preserve"> </w:t>
      </w:r>
      <w:proofErr w:type="spellStart"/>
      <w:r w:rsidRPr="00CA313F">
        <w:rPr>
          <w:rFonts w:ascii="Times New Roman" w:hAnsi="Times New Roman" w:cs="Times New Roman"/>
          <w:i/>
        </w:rPr>
        <w:t>lethal</w:t>
      </w:r>
      <w:proofErr w:type="spellEnd"/>
      <w:r w:rsidRPr="00CA313F">
        <w:rPr>
          <w:rFonts w:ascii="Times New Roman" w:hAnsi="Times New Roman" w:cs="Times New Roman"/>
          <w:i/>
        </w:rPr>
        <w:t xml:space="preserve">) egy RAS mutáns tumor sejtek szelektív </w:t>
      </w:r>
      <w:proofErr w:type="spellStart"/>
      <w:r w:rsidRPr="00CA313F">
        <w:rPr>
          <w:rFonts w:ascii="Times New Roman" w:hAnsi="Times New Roman" w:cs="Times New Roman"/>
          <w:i/>
        </w:rPr>
        <w:t>letalitását</w:t>
      </w:r>
      <w:proofErr w:type="spellEnd"/>
      <w:r w:rsidRPr="00CA313F">
        <w:rPr>
          <w:rFonts w:ascii="Times New Roman" w:hAnsi="Times New Roman" w:cs="Times New Roman"/>
          <w:i/>
        </w:rPr>
        <w:t xml:space="preserve"> célzó vizsgálat során fedezték fel. Ezen kívül a közelmúltban kiderült, hogy a p53 képes ROS indukálta oxidatív stressz esetén mind az </w:t>
      </w:r>
      <w:proofErr w:type="spellStart"/>
      <w:r w:rsidRPr="00CA313F">
        <w:rPr>
          <w:rFonts w:ascii="Times New Roman" w:hAnsi="Times New Roman" w:cs="Times New Roman"/>
          <w:i/>
        </w:rPr>
        <w:t>apoptózis</w:t>
      </w:r>
      <w:proofErr w:type="spellEnd"/>
      <w:r w:rsidRPr="00CA313F">
        <w:rPr>
          <w:rFonts w:ascii="Times New Roman" w:hAnsi="Times New Roman" w:cs="Times New Roman"/>
          <w:i/>
        </w:rPr>
        <w:t xml:space="preserve">, mind a </w:t>
      </w:r>
      <w:proofErr w:type="spellStart"/>
      <w:r w:rsidRPr="00CA313F">
        <w:rPr>
          <w:rFonts w:ascii="Times New Roman" w:hAnsi="Times New Roman" w:cs="Times New Roman"/>
          <w:i/>
        </w:rPr>
        <w:t>ferroptózis</w:t>
      </w:r>
      <w:proofErr w:type="spellEnd"/>
      <w:r w:rsidRPr="00CA313F">
        <w:rPr>
          <w:rFonts w:ascii="Times New Roman" w:hAnsi="Times New Roman" w:cs="Times New Roman"/>
          <w:i/>
        </w:rPr>
        <w:t xml:space="preserve"> folyamatát </w:t>
      </w:r>
      <w:proofErr w:type="spellStart"/>
      <w:r w:rsidRPr="00CA313F">
        <w:rPr>
          <w:rFonts w:ascii="Times New Roman" w:hAnsi="Times New Roman" w:cs="Times New Roman"/>
          <w:i/>
        </w:rPr>
        <w:lastRenderedPageBreak/>
        <w:t>iniciálni</w:t>
      </w:r>
      <w:proofErr w:type="spellEnd"/>
      <w:r w:rsidRPr="00CA313F">
        <w:rPr>
          <w:rFonts w:ascii="Times New Roman" w:hAnsi="Times New Roman" w:cs="Times New Roman"/>
          <w:i/>
        </w:rPr>
        <w:t xml:space="preserve">. A </w:t>
      </w:r>
      <w:proofErr w:type="spellStart"/>
      <w:r w:rsidRPr="00CA313F">
        <w:rPr>
          <w:rFonts w:ascii="Times New Roman" w:hAnsi="Times New Roman" w:cs="Times New Roman"/>
          <w:i/>
        </w:rPr>
        <w:t>ferroptózis</w:t>
      </w:r>
      <w:proofErr w:type="spellEnd"/>
      <w:r w:rsidRPr="00CA313F">
        <w:rPr>
          <w:rFonts w:ascii="Times New Roman" w:hAnsi="Times New Roman" w:cs="Times New Roman"/>
          <w:i/>
        </w:rPr>
        <w:t xml:space="preserve"> így egy újabb komponense a sejthalál programnak, amelyet humán tumor sejtekben a p53 indukál. </w:t>
      </w:r>
      <w:r w:rsidRPr="00CA313F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ferroptózis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tehát az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autofágiához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hasonlóan egyféle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tumor-szupresszornak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tekinthető, sőt, az sem kizárt, hogy a két folyamat együttesen vagy egymást követően aktiválódik, mintegy gátolva az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apoptózist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és a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nekroptózist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. Mivel mind az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autofágia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, mind a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ferroptózis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indukálódása közvetlenül kapcsolható a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lipid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peroxidációhoz és az ehhez köthető öregedési folyamatok során előforduló betegségek kialakulásához (pl. Alzheimer-kór), ezért </w:t>
      </w:r>
      <w:proofErr w:type="gramStart"/>
      <w:r w:rsidRPr="00CA313F">
        <w:rPr>
          <w:rFonts w:ascii="Times New Roman" w:hAnsi="Times New Roman" w:cs="Times New Roman"/>
          <w:i/>
          <w:sz w:val="24"/>
          <w:szCs w:val="24"/>
        </w:rPr>
        <w:t>ezen</w:t>
      </w:r>
      <w:proofErr w:type="gram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folyamtok működési mechanizmusának és az azokat irányító fehérje-fehérje kölcsönhatásainak vizsgálata mind az öregedési, mind a gyulladásos, tumoros folyamatokkal kapcsolatos </w:t>
      </w:r>
      <w:proofErr w:type="spellStart"/>
      <w:r w:rsidRPr="00CA313F">
        <w:rPr>
          <w:rFonts w:ascii="Times New Roman" w:hAnsi="Times New Roman" w:cs="Times New Roman"/>
          <w:i/>
          <w:sz w:val="24"/>
          <w:szCs w:val="24"/>
        </w:rPr>
        <w:t>MedinProt</w:t>
      </w:r>
      <w:proofErr w:type="spellEnd"/>
      <w:r w:rsidRPr="00CA313F">
        <w:rPr>
          <w:rFonts w:ascii="Times New Roman" w:hAnsi="Times New Roman" w:cs="Times New Roman"/>
          <w:i/>
          <w:sz w:val="24"/>
          <w:szCs w:val="24"/>
        </w:rPr>
        <w:t xml:space="preserve"> fókuszpontokhoz kapcsolódik.</w:t>
      </w:r>
    </w:p>
    <w:p w:rsidR="00CA313F" w:rsidRPr="00CA313F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eredményeit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9A40AC" w:rsidRPr="0075460E" w:rsidRDefault="00077458" w:rsidP="0075460E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Ahhoz, hogy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ferroptózis</w:t>
      </w:r>
      <w:r w:rsidR="009A40AC">
        <w:rPr>
          <w:rFonts w:ascii="Times New Roman" w:hAnsi="Times New Roman" w:cs="Times New Roman"/>
          <w:i/>
          <w:iCs/>
          <w:sz w:val="24"/>
          <w:szCs w:val="24"/>
        </w:rPr>
        <w:t>os</w:t>
      </w:r>
      <w:proofErr w:type="spellEnd"/>
      <w:r w:rsidR="009A40AC">
        <w:rPr>
          <w:rFonts w:ascii="Times New Roman" w:hAnsi="Times New Roman" w:cs="Times New Roman"/>
          <w:i/>
          <w:iCs/>
          <w:sz w:val="24"/>
          <w:szCs w:val="24"/>
        </w:rPr>
        <w:t xml:space="preserve"> sejthalált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tanulmányozhassuk,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ferroptózist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váltottunk</w:t>
      </w:r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 ki RAS </w:t>
      </w:r>
      <w:proofErr w:type="spellStart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>onkogén</w:t>
      </w:r>
      <w:proofErr w:type="spellEnd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 vonalakon (HepG2) </w:t>
      </w:r>
      <w:proofErr w:type="spellStart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>erasztinnel</w:t>
      </w:r>
      <w:proofErr w:type="spellEnd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, illetve primer </w:t>
      </w:r>
      <w:proofErr w:type="spellStart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>hepatocitákon</w:t>
      </w:r>
      <w:proofErr w:type="spellEnd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>acetaminofennel</w:t>
      </w:r>
      <w:proofErr w:type="spellEnd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1444">
        <w:rPr>
          <w:rFonts w:ascii="Times New Roman" w:hAnsi="Times New Roman" w:cs="Times New Roman"/>
          <w:i/>
          <w:iCs/>
          <w:sz w:val="24"/>
          <w:szCs w:val="24"/>
        </w:rPr>
        <w:t xml:space="preserve">(APAP) </w:t>
      </w:r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és </w:t>
      </w:r>
      <w:proofErr w:type="spellStart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>erasztinnel</w:t>
      </w:r>
      <w:proofErr w:type="spellEnd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. A kezelési koncentrációk és idők pontos beállítására mindkét </w:t>
      </w:r>
      <w:proofErr w:type="spellStart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>ferroptózist</w:t>
      </w:r>
      <w:proofErr w:type="spellEnd"/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 xml:space="preserve"> kiváltó reagensből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először </w:t>
      </w:r>
      <w:r w:rsidR="002E7833" w:rsidRPr="00075242">
        <w:rPr>
          <w:rFonts w:ascii="Times New Roman" w:hAnsi="Times New Roman" w:cs="Times New Roman"/>
          <w:i/>
          <w:iCs/>
          <w:sz w:val="24"/>
          <w:szCs w:val="24"/>
        </w:rPr>
        <w:t>titrálási 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ort készítettünk, </w:t>
      </w:r>
      <w:r w:rsidR="009A40AC">
        <w:rPr>
          <w:rFonts w:ascii="Times New Roman" w:hAnsi="Times New Roman" w:cs="Times New Roman"/>
          <w:i/>
          <w:iCs/>
          <w:sz w:val="24"/>
          <w:szCs w:val="24"/>
        </w:rPr>
        <w:t>és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7458">
        <w:rPr>
          <w:rFonts w:ascii="Times New Roman" w:hAnsi="Times New Roman" w:cs="Times New Roman"/>
          <w:i/>
          <w:iCs/>
          <w:sz w:val="24"/>
          <w:szCs w:val="24"/>
        </w:rPr>
        <w:t>a sejtek életképességét folyamatosan nyomon követ</w:t>
      </w:r>
      <w:r w:rsidR="0075460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77458">
        <w:rPr>
          <w:rFonts w:ascii="Times New Roman" w:hAnsi="Times New Roman" w:cs="Times New Roman"/>
          <w:i/>
          <w:iCs/>
          <w:sz w:val="24"/>
          <w:szCs w:val="24"/>
        </w:rPr>
        <w:t>ük (élő sejtek számolásával és életképességi vizsgálatok végzésével), ezzel mintegy minőségi jellemzést adva a sejthalál viselkedéséről.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Azt tapasztaltuk, hogy a sejtek életképessége 8 óráig alig változik, majd drasztikusan csökke</w:t>
      </w:r>
      <w:r w:rsidR="002E1444">
        <w:rPr>
          <w:rFonts w:ascii="Times New Roman" w:hAnsi="Times New Roman" w:cs="Times New Roman"/>
          <w:i/>
          <w:iCs/>
          <w:sz w:val="24"/>
          <w:szCs w:val="24"/>
        </w:rPr>
        <w:t xml:space="preserve">nni kezd 16 óráig tartó 5 vagy 10 </w:t>
      </w:r>
      <w:r w:rsidR="002E1444">
        <w:rPr>
          <w:rFonts w:ascii="Symbol" w:hAnsi="Symbol" w:cs="Times New Roman"/>
          <w:i/>
          <w:iCs/>
          <w:sz w:val="24"/>
          <w:szCs w:val="24"/>
        </w:rPr>
        <w:t></w:t>
      </w:r>
      <w:r w:rsidR="002E1444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proofErr w:type="spellStart"/>
      <w:r w:rsidR="002E1444">
        <w:rPr>
          <w:rFonts w:ascii="Times New Roman" w:hAnsi="Times New Roman" w:cs="Times New Roman"/>
          <w:i/>
          <w:iCs/>
          <w:sz w:val="24"/>
          <w:szCs w:val="24"/>
        </w:rPr>
        <w:t>erasztin</w:t>
      </w:r>
      <w:proofErr w:type="spellEnd"/>
      <w:r w:rsidR="002E1444">
        <w:rPr>
          <w:rFonts w:ascii="Times New Roman" w:hAnsi="Times New Roman" w:cs="Times New Roman"/>
          <w:i/>
          <w:iCs/>
          <w:sz w:val="24"/>
          <w:szCs w:val="24"/>
        </w:rPr>
        <w:t xml:space="preserve"> kezelés hatására.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1444">
        <w:rPr>
          <w:rFonts w:ascii="Times New Roman" w:hAnsi="Times New Roman" w:cs="Times New Roman"/>
          <w:i/>
          <w:iCs/>
          <w:sz w:val="24"/>
          <w:szCs w:val="24"/>
        </w:rPr>
        <w:t xml:space="preserve">20 </w:t>
      </w:r>
      <w:proofErr w:type="spellStart"/>
      <w:r w:rsidR="002E1444">
        <w:rPr>
          <w:rFonts w:ascii="Times New Roman" w:hAnsi="Times New Roman" w:cs="Times New Roman"/>
          <w:i/>
          <w:iCs/>
          <w:sz w:val="24"/>
          <w:szCs w:val="24"/>
        </w:rPr>
        <w:t>mM</w:t>
      </w:r>
      <w:proofErr w:type="spellEnd"/>
      <w:r w:rsidR="002E1444">
        <w:rPr>
          <w:rFonts w:ascii="Times New Roman" w:hAnsi="Times New Roman" w:cs="Times New Roman"/>
          <w:i/>
          <w:iCs/>
          <w:sz w:val="24"/>
          <w:szCs w:val="24"/>
        </w:rPr>
        <w:t xml:space="preserve"> APAP 10 óra után csökkentette az élő sejtek számát. Mind</w:t>
      </w:r>
      <w:r w:rsidR="009A40AC">
        <w:rPr>
          <w:rFonts w:ascii="Times New Roman" w:hAnsi="Times New Roman" w:cs="Times New Roman"/>
          <w:i/>
          <w:iCs/>
          <w:sz w:val="24"/>
          <w:szCs w:val="24"/>
        </w:rPr>
        <w:t>két esetben azt figyeltü</w:t>
      </w:r>
      <w:r w:rsidR="002E144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A40AC">
        <w:rPr>
          <w:rFonts w:ascii="Times New Roman" w:hAnsi="Times New Roman" w:cs="Times New Roman"/>
          <w:i/>
          <w:iCs/>
          <w:sz w:val="24"/>
          <w:szCs w:val="24"/>
        </w:rPr>
        <w:t xml:space="preserve"> meg</w:t>
      </w:r>
      <w:r w:rsidR="002E1444">
        <w:rPr>
          <w:rFonts w:ascii="Times New Roman" w:hAnsi="Times New Roman" w:cs="Times New Roman"/>
          <w:i/>
          <w:iCs/>
          <w:sz w:val="24"/>
          <w:szCs w:val="24"/>
        </w:rPr>
        <w:t>, hogy a sejtek életképessége kapcsolószer</w:t>
      </w:r>
      <w:r w:rsidR="0075460E">
        <w:rPr>
          <w:rFonts w:ascii="Times New Roman" w:hAnsi="Times New Roman" w:cs="Times New Roman"/>
          <w:i/>
          <w:iCs/>
          <w:sz w:val="24"/>
          <w:szCs w:val="24"/>
        </w:rPr>
        <w:t>űen változik bizonyos idő után.</w:t>
      </w:r>
      <w:r w:rsidR="0075460E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460E">
        <w:rPr>
          <w:rFonts w:ascii="Times New Roman" w:hAnsi="Times New Roman" w:cs="Times New Roman"/>
          <w:i/>
          <w:iCs/>
          <w:sz w:val="24"/>
          <w:szCs w:val="24"/>
        </w:rPr>
        <w:t xml:space="preserve">Erre </w:t>
      </w:r>
      <w:r w:rsidR="0075460E" w:rsidRPr="009A40AC">
        <w:rPr>
          <w:rFonts w:ascii="Times New Roman" w:hAnsi="Times New Roman" w:cs="Times New Roman"/>
          <w:i/>
          <w:iCs/>
          <w:sz w:val="24"/>
          <w:szCs w:val="24"/>
        </w:rPr>
        <w:t xml:space="preserve">fontos </w:t>
      </w:r>
      <w:proofErr w:type="spellStart"/>
      <w:r w:rsidR="0075460E" w:rsidRPr="009A40AC">
        <w:rPr>
          <w:rFonts w:ascii="Times New Roman" w:hAnsi="Times New Roman" w:cs="Times New Roman"/>
          <w:i/>
          <w:iCs/>
          <w:sz w:val="24"/>
          <w:szCs w:val="24"/>
        </w:rPr>
        <w:t>élet-és-halál</w:t>
      </w:r>
      <w:proofErr w:type="spellEnd"/>
      <w:r w:rsidR="0075460E" w:rsidRPr="009A40AC">
        <w:rPr>
          <w:rFonts w:ascii="Times New Roman" w:hAnsi="Times New Roman" w:cs="Times New Roman"/>
          <w:i/>
          <w:iCs/>
          <w:sz w:val="24"/>
          <w:szCs w:val="24"/>
        </w:rPr>
        <w:t xml:space="preserve"> közti kapcsoló</w:t>
      </w:r>
      <w:r w:rsidR="0075460E">
        <w:rPr>
          <w:rFonts w:ascii="Times New Roman" w:hAnsi="Times New Roman" w:cs="Times New Roman"/>
          <w:i/>
          <w:iCs/>
          <w:sz w:val="24"/>
          <w:szCs w:val="24"/>
        </w:rPr>
        <w:t xml:space="preserve"> szerepre a </w:t>
      </w:r>
      <w:proofErr w:type="spellStart"/>
      <w:r w:rsidR="0075460E">
        <w:rPr>
          <w:rFonts w:ascii="Times New Roman" w:hAnsi="Times New Roman" w:cs="Times New Roman"/>
          <w:i/>
          <w:iCs/>
          <w:sz w:val="24"/>
          <w:szCs w:val="24"/>
        </w:rPr>
        <w:t>glutation</w:t>
      </w:r>
      <w:proofErr w:type="spellEnd"/>
      <w:r w:rsidR="0075460E">
        <w:rPr>
          <w:rFonts w:ascii="Times New Roman" w:hAnsi="Times New Roman" w:cs="Times New Roman"/>
          <w:i/>
          <w:iCs/>
          <w:sz w:val="24"/>
          <w:szCs w:val="24"/>
        </w:rPr>
        <w:t xml:space="preserve"> tűnt a legesélyesebbnek, ezért</w:t>
      </w:r>
      <w:r w:rsidR="0075460E" w:rsidRPr="009A40AC">
        <w:rPr>
          <w:rFonts w:ascii="Times New Roman" w:hAnsi="Times New Roman" w:cs="Times New Roman"/>
          <w:i/>
          <w:iCs/>
          <w:sz w:val="24"/>
          <w:szCs w:val="24"/>
        </w:rPr>
        <w:t xml:space="preserve"> minden egyes kezelésnél mér</w:t>
      </w:r>
      <w:r w:rsidR="0075460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5460E" w:rsidRPr="009A40AC">
        <w:rPr>
          <w:rFonts w:ascii="Times New Roman" w:hAnsi="Times New Roman" w:cs="Times New Roman"/>
          <w:i/>
          <w:iCs/>
          <w:sz w:val="24"/>
          <w:szCs w:val="24"/>
        </w:rPr>
        <w:t>ük a GSH szintet.</w:t>
      </w:r>
      <w:r w:rsidR="00754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460E" w:rsidRPr="0075460E">
        <w:rPr>
          <w:rFonts w:ascii="Times New Roman" w:hAnsi="Times New Roman" w:cs="Times New Roman"/>
          <w:i/>
          <w:sz w:val="24"/>
          <w:szCs w:val="24"/>
        </w:rPr>
        <w:t>A sejtek GSH szintje 2 órával a kezelést követően 50%-ra, 4 órával a kezelést követően 12%-ra, 6 órával a kezelést követően 5%-ra csökkent, majd a detektálási határ alá csökkent.</w:t>
      </w:r>
      <w:r w:rsidR="007546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A sejtekből nyert fehérjeminták segítségével </w:t>
      </w:r>
      <w:r w:rsidR="002E1444" w:rsidRPr="0075460E">
        <w:rPr>
          <w:rFonts w:ascii="Times New Roman" w:hAnsi="Times New Roman" w:cs="Times New Roman"/>
          <w:i/>
          <w:iCs/>
          <w:sz w:val="24"/>
          <w:szCs w:val="24"/>
        </w:rPr>
        <w:t>ellenőr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E1444" w:rsidRPr="0075460E">
        <w:rPr>
          <w:rFonts w:ascii="Times New Roman" w:hAnsi="Times New Roman" w:cs="Times New Roman"/>
          <w:i/>
          <w:iCs/>
          <w:sz w:val="24"/>
          <w:szCs w:val="24"/>
        </w:rPr>
        <w:t>ztü</w:t>
      </w:r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k mind </w:t>
      </w:r>
      <w:proofErr w:type="spellStart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>autofágia</w:t>
      </w:r>
      <w:proofErr w:type="spellEnd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marker fehérjékkel (LC3II, p62, ULK-555P), mind </w:t>
      </w:r>
      <w:proofErr w:type="spellStart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>apoptózis</w:t>
      </w:r>
      <w:proofErr w:type="spellEnd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fehérjemarkerekkel (p</w:t>
      </w:r>
      <w:r w:rsidR="002E1444" w:rsidRPr="0075460E">
        <w:rPr>
          <w:rFonts w:ascii="Times New Roman" w:hAnsi="Times New Roman" w:cs="Times New Roman"/>
          <w:i/>
          <w:iCs/>
          <w:sz w:val="24"/>
          <w:szCs w:val="24"/>
        </w:rPr>
        <w:t>ro-Caspase3, hasított PARP</w:t>
      </w:r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) a két folyamat esetleges érintettségét, kapcsolatát a </w:t>
      </w:r>
      <w:proofErr w:type="spellStart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>ferroptózissal</w:t>
      </w:r>
      <w:proofErr w:type="spellEnd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Ugyancsak</w:t>
      </w:r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összehasonlít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ottu</w:t>
      </w:r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k a két induktor molekula hatását a gyulladásos, </w:t>
      </w:r>
      <w:proofErr w:type="spellStart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>nekroptózis</w:t>
      </w:r>
      <w:proofErr w:type="spellEnd"/>
      <w:r w:rsidR="002E7833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markerekre (RIP1,3, JNK). 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Illetve azt is megnéztük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mTOR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markerrel (4-EBP1P), hogy a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ferroptózis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hogyan kapcsolódik az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mTOR-hoz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, ami számos jelátviteli útvonalon keresztül szabályozza a sejtek anyagcseréjét és növekedését. Azt tapasztaltuk, hogy mind az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autofágia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tranziens aktiválódást mutat a kezelés ideje alatt, míg a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nekroptózis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és az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apoptotikus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folyamatok aktiválódtak a kezelés végén aktiválódtak. Ez arra enged következtetni, hogy az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autofágiának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valami</w:t>
      </w:r>
      <w:r w:rsidR="00571885">
        <w:rPr>
          <w:rFonts w:ascii="Times New Roman" w:hAnsi="Times New Roman" w:cs="Times New Roman"/>
          <w:i/>
          <w:iCs/>
          <w:sz w:val="24"/>
          <w:szCs w:val="24"/>
        </w:rPr>
        <w:t>lyen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szerepe lehet a túlélésben</w:t>
      </w:r>
      <w:r w:rsidR="00571885">
        <w:rPr>
          <w:rFonts w:ascii="Times New Roman" w:hAnsi="Times New Roman" w:cs="Times New Roman"/>
          <w:i/>
          <w:iCs/>
          <w:sz w:val="24"/>
          <w:szCs w:val="24"/>
        </w:rPr>
        <w:t xml:space="preserve">, vagy a </w:t>
      </w:r>
      <w:proofErr w:type="spellStart"/>
      <w:r w:rsidR="00571885">
        <w:rPr>
          <w:rFonts w:ascii="Times New Roman" w:hAnsi="Times New Roman" w:cs="Times New Roman"/>
          <w:i/>
          <w:iCs/>
          <w:sz w:val="24"/>
          <w:szCs w:val="24"/>
        </w:rPr>
        <w:t>ferroptózis</w:t>
      </w:r>
      <w:proofErr w:type="spellEnd"/>
      <w:r w:rsidR="00571885">
        <w:rPr>
          <w:rFonts w:ascii="Times New Roman" w:hAnsi="Times New Roman" w:cs="Times New Roman"/>
          <w:i/>
          <w:iCs/>
          <w:sz w:val="24"/>
          <w:szCs w:val="24"/>
        </w:rPr>
        <w:t xml:space="preserve"> folyamatának lejátszódásában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="005718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1885">
        <w:rPr>
          <w:rFonts w:ascii="Times New Roman" w:hAnsi="Times New Roman" w:cs="Times New Roman"/>
          <w:i/>
          <w:iCs/>
          <w:sz w:val="24"/>
          <w:szCs w:val="24"/>
        </w:rPr>
        <w:t>ferroptotikus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sejthalál </w:t>
      </w:r>
      <w:r w:rsidR="00571885">
        <w:rPr>
          <w:rFonts w:ascii="Times New Roman" w:hAnsi="Times New Roman" w:cs="Times New Roman"/>
          <w:i/>
          <w:iCs/>
          <w:sz w:val="24"/>
          <w:szCs w:val="24"/>
        </w:rPr>
        <w:t xml:space="preserve">tehát nem tiszte a 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több</w:t>
      </w:r>
      <w:r w:rsidR="00571885">
        <w:rPr>
          <w:rFonts w:ascii="Times New Roman" w:hAnsi="Times New Roman" w:cs="Times New Roman"/>
          <w:i/>
          <w:iCs/>
          <w:sz w:val="24"/>
          <w:szCs w:val="24"/>
        </w:rPr>
        <w:t>i programozott sejthalál formával szoros (feltételezhetően ok-okozati) kapcsolatot mutat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. Az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mTOR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akitvációja</w:t>
      </w:r>
      <w:proofErr w:type="spellEnd"/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 nem volt megfigyelhető a kezelés során, pedig ez sok ese</w:t>
      </w:r>
      <w:r w:rsidR="00571885">
        <w:rPr>
          <w:rFonts w:ascii="Times New Roman" w:hAnsi="Times New Roman" w:cs="Times New Roman"/>
          <w:i/>
          <w:iCs/>
          <w:sz w:val="24"/>
          <w:szCs w:val="24"/>
        </w:rPr>
        <w:t xml:space="preserve">tben együtt jár az </w:t>
      </w:r>
      <w:proofErr w:type="spellStart"/>
      <w:r w:rsidR="00571885">
        <w:rPr>
          <w:rFonts w:ascii="Times New Roman" w:hAnsi="Times New Roman" w:cs="Times New Roman"/>
          <w:i/>
          <w:iCs/>
          <w:sz w:val="24"/>
          <w:szCs w:val="24"/>
        </w:rPr>
        <w:t>apoptózis</w:t>
      </w:r>
      <w:proofErr w:type="spellEnd"/>
      <w:r w:rsidR="00571885">
        <w:rPr>
          <w:rFonts w:ascii="Times New Roman" w:hAnsi="Times New Roman" w:cs="Times New Roman"/>
          <w:i/>
          <w:iCs/>
          <w:sz w:val="24"/>
          <w:szCs w:val="24"/>
        </w:rPr>
        <w:t xml:space="preserve"> ak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7188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A40AC" w:rsidRPr="0075460E">
        <w:rPr>
          <w:rFonts w:ascii="Times New Roman" w:hAnsi="Times New Roman" w:cs="Times New Roman"/>
          <w:i/>
          <w:iCs/>
          <w:sz w:val="24"/>
          <w:szCs w:val="24"/>
        </w:rPr>
        <w:t xml:space="preserve">vációjával. </w:t>
      </w:r>
    </w:p>
    <w:p w:rsidR="009A40AC" w:rsidRDefault="009A40AC" w:rsidP="009A40AC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7833" w:rsidRPr="00075242" w:rsidRDefault="002E7833" w:rsidP="002E7833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</w:p>
    <w:p w:rsidR="00CE7CA5" w:rsidRPr="002B25B2" w:rsidRDefault="00CA313F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7CA5">
        <w:rPr>
          <w:rFonts w:ascii="Times New Roman" w:hAnsi="Times New Roman" w:cs="Times New Roman"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 w:rsidR="00CE7CA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CE7CA5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CE7CA5"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AA576E" w:rsidRDefault="002B25B2" w:rsidP="00AA576E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BD4452">
        <w:rPr>
          <w:rFonts w:ascii="Times New Roman" w:hAnsi="Times New Roman" w:cs="Times New Roman"/>
          <w:i/>
          <w:sz w:val="24"/>
          <w:szCs w:val="24"/>
        </w:rPr>
        <w:t>A közös munkát alapvetően sikeresnek tekinthetjük. Annyi év próbálkozás után végre lehetőségünk adódott, hogy egy közös projekt keretében együtt dolgozhassunk</w:t>
      </w:r>
      <w:r w:rsidR="00BD4452">
        <w:rPr>
          <w:rFonts w:ascii="Times New Roman" w:hAnsi="Times New Roman" w:cs="Times New Roman"/>
          <w:i/>
          <w:sz w:val="24"/>
          <w:szCs w:val="24"/>
        </w:rPr>
        <w:t xml:space="preserve"> és egy újnak tekinthető, izgalmas területet fedezzünk fel</w:t>
      </w:r>
      <w:r w:rsidRPr="00BD44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A576E">
        <w:rPr>
          <w:rFonts w:ascii="Times New Roman" w:hAnsi="Times New Roman" w:cs="Times New Roman"/>
          <w:i/>
          <w:sz w:val="24"/>
          <w:szCs w:val="24"/>
        </w:rPr>
        <w:t>D</w:t>
      </w:r>
      <w:r w:rsidR="00BD4452" w:rsidRPr="00BD4452">
        <w:rPr>
          <w:rFonts w:ascii="Times New Roman" w:hAnsi="Times New Roman" w:cs="Times New Roman"/>
          <w:i/>
          <w:sz w:val="24"/>
          <w:szCs w:val="24"/>
        </w:rPr>
        <w:t>ok</w:t>
      </w:r>
      <w:r w:rsidRPr="00BD4452">
        <w:rPr>
          <w:rFonts w:ascii="Times New Roman" w:hAnsi="Times New Roman" w:cs="Times New Roman"/>
          <w:i/>
          <w:sz w:val="24"/>
          <w:szCs w:val="24"/>
        </w:rPr>
        <w:t>t</w:t>
      </w:r>
      <w:r w:rsidR="00BD4452" w:rsidRPr="00BD4452">
        <w:rPr>
          <w:rFonts w:ascii="Times New Roman" w:hAnsi="Times New Roman" w:cs="Times New Roman"/>
          <w:i/>
          <w:sz w:val="24"/>
          <w:szCs w:val="24"/>
        </w:rPr>
        <w:t>o</w:t>
      </w:r>
      <w:r w:rsidRPr="00BD4452">
        <w:rPr>
          <w:rFonts w:ascii="Times New Roman" w:hAnsi="Times New Roman" w:cs="Times New Roman"/>
          <w:i/>
          <w:sz w:val="24"/>
          <w:szCs w:val="24"/>
        </w:rPr>
        <w:t>ránsaik</w:t>
      </w:r>
      <w:proofErr w:type="spellEnd"/>
      <w:r w:rsidRPr="00BD4452">
        <w:rPr>
          <w:rFonts w:ascii="Times New Roman" w:hAnsi="Times New Roman" w:cs="Times New Roman"/>
          <w:i/>
          <w:sz w:val="24"/>
          <w:szCs w:val="24"/>
        </w:rPr>
        <w:t xml:space="preserve"> segítségével </w:t>
      </w:r>
      <w:r w:rsidR="00BD4452">
        <w:rPr>
          <w:rFonts w:ascii="Times New Roman" w:hAnsi="Times New Roman" w:cs="Times New Roman"/>
          <w:i/>
          <w:sz w:val="24"/>
          <w:szCs w:val="24"/>
        </w:rPr>
        <w:t xml:space="preserve">jól </w:t>
      </w:r>
      <w:r w:rsidRPr="00BD4452">
        <w:rPr>
          <w:rFonts w:ascii="Times New Roman" w:hAnsi="Times New Roman" w:cs="Times New Roman"/>
          <w:i/>
          <w:sz w:val="24"/>
          <w:szCs w:val="24"/>
        </w:rPr>
        <w:t>össze tudtuk hangolni a feladatok</w:t>
      </w:r>
      <w:r w:rsidR="00AA576E">
        <w:rPr>
          <w:rFonts w:ascii="Times New Roman" w:hAnsi="Times New Roman" w:cs="Times New Roman"/>
          <w:i/>
          <w:sz w:val="24"/>
          <w:szCs w:val="24"/>
        </w:rPr>
        <w:t>at</w:t>
      </w:r>
      <w:r w:rsidRPr="00BD44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A576E">
        <w:rPr>
          <w:rFonts w:ascii="Times New Roman" w:hAnsi="Times New Roman" w:cs="Times New Roman"/>
          <w:i/>
          <w:sz w:val="24"/>
          <w:szCs w:val="24"/>
        </w:rPr>
        <w:t xml:space="preserve">optimálisan </w:t>
      </w:r>
      <w:r w:rsidRPr="00BD4452">
        <w:rPr>
          <w:rFonts w:ascii="Times New Roman" w:hAnsi="Times New Roman" w:cs="Times New Roman"/>
          <w:i/>
          <w:sz w:val="24"/>
          <w:szCs w:val="24"/>
        </w:rPr>
        <w:t xml:space="preserve">kihasználtuk mind a SOTE, mind a BME vegyszer- és műszerparkjának az erősségeit. Ez a munka egy igen fontos alapját képezi </w:t>
      </w:r>
      <w:r w:rsidR="00AA576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BD4452">
        <w:rPr>
          <w:rFonts w:ascii="Times New Roman" w:hAnsi="Times New Roman" w:cs="Times New Roman"/>
          <w:i/>
          <w:sz w:val="24"/>
          <w:szCs w:val="24"/>
        </w:rPr>
        <w:t>további közös munkáinknak</w:t>
      </w:r>
      <w:r w:rsidR="00AA576E">
        <w:rPr>
          <w:rFonts w:ascii="Times New Roman" w:hAnsi="Times New Roman" w:cs="Times New Roman"/>
          <w:i/>
          <w:sz w:val="24"/>
          <w:szCs w:val="24"/>
        </w:rPr>
        <w:t xml:space="preserve"> és terveinknek</w:t>
      </w:r>
      <w:r w:rsidRPr="00BD4452">
        <w:rPr>
          <w:rFonts w:ascii="Times New Roman" w:hAnsi="Times New Roman" w:cs="Times New Roman"/>
          <w:i/>
          <w:sz w:val="24"/>
          <w:szCs w:val="24"/>
        </w:rPr>
        <w:t>.</w:t>
      </w:r>
      <w:r w:rsidR="00AA576E">
        <w:rPr>
          <w:rFonts w:ascii="Times New Roman" w:hAnsi="Times New Roman" w:cs="Times New Roman"/>
          <w:i/>
          <w:sz w:val="24"/>
          <w:szCs w:val="24"/>
        </w:rPr>
        <w:t xml:space="preserve"> Célunk, hogy a közeljövőben nagyobb szabású pályázatokat is beadjunk és tovább gyümölcsözzön a közös munka.</w:t>
      </w:r>
    </w:p>
    <w:p w:rsidR="00AA576E" w:rsidRPr="00AA576E" w:rsidRDefault="002B25B2" w:rsidP="00AA576E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AA576E">
        <w:rPr>
          <w:rFonts w:ascii="Times New Roman" w:hAnsi="Times New Roman" w:cs="Times New Roman"/>
          <w:i/>
          <w:sz w:val="24"/>
          <w:szCs w:val="24"/>
        </w:rPr>
        <w:t xml:space="preserve"> A legnagyobb nehézséget az okozta, hogy az idő viszonylag szűkre volt szabva, </w:t>
      </w:r>
      <w:r w:rsidR="00571885">
        <w:rPr>
          <w:rFonts w:ascii="Times New Roman" w:hAnsi="Times New Roman" w:cs="Times New Roman"/>
          <w:i/>
          <w:sz w:val="24"/>
          <w:szCs w:val="24"/>
        </w:rPr>
        <w:t>míg a kísérletes munkában nem vá</w:t>
      </w:r>
      <w:r w:rsidRPr="00AA576E">
        <w:rPr>
          <w:rFonts w:ascii="Times New Roman" w:hAnsi="Times New Roman" w:cs="Times New Roman"/>
          <w:i/>
          <w:sz w:val="24"/>
          <w:szCs w:val="24"/>
        </w:rPr>
        <w:t>rt nehézségekkel küzdöttünk. Bár a kísérleteinket megfelelő precizitással és alapossággal terveztük, ahogy az lenni szokott, a biológia átírta az elképzeléseinket, és az ehhez való igazodásaink sok időt elvettek</w:t>
      </w:r>
      <w:r w:rsidR="00AA576E">
        <w:rPr>
          <w:rFonts w:ascii="Times New Roman" w:hAnsi="Times New Roman" w:cs="Times New Roman"/>
          <w:i/>
          <w:sz w:val="24"/>
          <w:szCs w:val="24"/>
        </w:rPr>
        <w:t>. Ez</w:t>
      </w:r>
      <w:r w:rsidRPr="00AA576E">
        <w:rPr>
          <w:rFonts w:ascii="Times New Roman" w:hAnsi="Times New Roman" w:cs="Times New Roman"/>
          <w:i/>
          <w:sz w:val="24"/>
          <w:szCs w:val="24"/>
        </w:rPr>
        <w:t xml:space="preserve"> azt eredményezte, hogy egynémely tervezett kísérletet nem sikerült megvalósítanunk, helyette viszont egyéb, molekuláris biológiai kérdésekre tudtunk választ kapni.</w:t>
      </w:r>
      <w:r w:rsidR="00AA5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885">
        <w:rPr>
          <w:rFonts w:ascii="Times New Roman" w:hAnsi="Times New Roman" w:cs="Times New Roman"/>
          <w:i/>
          <w:sz w:val="24"/>
          <w:szCs w:val="24"/>
        </w:rPr>
        <w:t xml:space="preserve">Ezen túl sikerült egy új érzékeny, az autooxidáció okozta hibát minimálisra csökkentő </w:t>
      </w:r>
      <w:proofErr w:type="spellStart"/>
      <w:r w:rsidR="00571885">
        <w:rPr>
          <w:rFonts w:ascii="Times New Roman" w:hAnsi="Times New Roman" w:cs="Times New Roman"/>
          <w:i/>
          <w:sz w:val="24"/>
          <w:szCs w:val="24"/>
        </w:rPr>
        <w:t>glutation</w:t>
      </w:r>
      <w:proofErr w:type="spellEnd"/>
      <w:r w:rsidR="00571885">
        <w:rPr>
          <w:rFonts w:ascii="Times New Roman" w:hAnsi="Times New Roman" w:cs="Times New Roman"/>
          <w:i/>
          <w:sz w:val="24"/>
          <w:szCs w:val="24"/>
        </w:rPr>
        <w:t xml:space="preserve"> meghatározási módszert kifejlesztenünk. </w:t>
      </w:r>
      <w:r w:rsidR="00AA576E">
        <w:rPr>
          <w:rFonts w:ascii="Times New Roman" w:hAnsi="Times New Roman" w:cs="Times New Roman"/>
          <w:i/>
          <w:sz w:val="24"/>
          <w:szCs w:val="24"/>
        </w:rPr>
        <w:t>A következő programok hatékonyságát esetleg hosszabb pályázati időtartammal lehetne növelni.</w:t>
      </w:r>
    </w:p>
    <w:p w:rsidR="002B25B2" w:rsidRDefault="002B25B2" w:rsidP="002B25B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71885" w:rsidRDefault="00CE7CA5" w:rsidP="0057188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85" w:rsidRDefault="00571885" w:rsidP="005718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71885" w:rsidRPr="00571885" w:rsidRDefault="00571885" w:rsidP="00571885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571885">
        <w:rPr>
          <w:rFonts w:ascii="Times New Roman" w:hAnsi="Times New Roman" w:cs="Times New Roman"/>
          <w:i/>
          <w:sz w:val="24"/>
          <w:szCs w:val="24"/>
        </w:rPr>
        <w:t>A program egyértelműen hiányt pótló. Kiválóan összehozta és összefogja a fehérjetudományi szakterület képviselőit. A konferenciák kimondottan sikeresnek mondhatóak, nagy érdeklődés mellett, valós párbeszédekkel kerültek megrendezésre. A légkör egyértelműen alkotói, a színvonala (előadások, perbeszédek, konstruktivitás) elérte, sőt sok esetben meghaladta a nemzetközi konferenciákét. A honlap jó, jól használhatóak a funkciói, egyetlen további javaslatunk lenne. A megvalósíthatósági és a nyári iskola pályázatok tovább segítették az együttműködést.</w:t>
      </w:r>
    </w:p>
    <w:p w:rsidR="00571885" w:rsidRPr="00571885" w:rsidRDefault="00571885" w:rsidP="00571885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CE7CA5" w:rsidRPr="00571885" w:rsidRDefault="00571885" w:rsidP="0057188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71885">
        <w:rPr>
          <w:rFonts w:ascii="Times New Roman" w:hAnsi="Times New Roman" w:cs="Times New Roman"/>
          <w:i/>
          <w:sz w:val="24"/>
          <w:szCs w:val="24"/>
        </w:rPr>
        <w:t xml:space="preserve">Javaslunk egy interaktívabb fórum felület kialakítását a </w:t>
      </w:r>
      <w:proofErr w:type="spellStart"/>
      <w:r w:rsidRPr="00571885">
        <w:rPr>
          <w:rFonts w:ascii="Times New Roman" w:hAnsi="Times New Roman" w:cs="Times New Roman"/>
          <w:i/>
          <w:sz w:val="24"/>
          <w:szCs w:val="24"/>
        </w:rPr>
        <w:t>MedInProt</w:t>
      </w:r>
      <w:proofErr w:type="spellEnd"/>
      <w:r w:rsidRPr="00571885">
        <w:rPr>
          <w:rFonts w:ascii="Times New Roman" w:hAnsi="Times New Roman" w:cs="Times New Roman"/>
          <w:i/>
          <w:sz w:val="24"/>
          <w:szCs w:val="24"/>
        </w:rPr>
        <w:t xml:space="preserve"> honlapon, ahol egyszerűbben tehetünk fel kísérleti, kutatási problémákkal kapcsolatos kérdéseket a hálózat tagjainak, illetve így könnyebben alakulhatnának ki jövőbeli együttműködések is.</w:t>
      </w:r>
    </w:p>
    <w:p w:rsidR="00CE7CA5" w:rsidRPr="008A4BE4" w:rsidRDefault="00CE7CA5" w:rsidP="00CE7CA5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szinergizmus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CE7CA5" w:rsidRPr="008A4BE4" w:rsidRDefault="00CE7CA5" w:rsidP="00CE7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4C02BA" w:rsidRDefault="004C02BA"/>
    <w:sectPr w:rsidR="004C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077458"/>
    <w:rsid w:val="00135F70"/>
    <w:rsid w:val="00197848"/>
    <w:rsid w:val="001D7A1A"/>
    <w:rsid w:val="0028276F"/>
    <w:rsid w:val="002B25B2"/>
    <w:rsid w:val="002E1444"/>
    <w:rsid w:val="002E7833"/>
    <w:rsid w:val="00456E4A"/>
    <w:rsid w:val="004C02BA"/>
    <w:rsid w:val="00542A1C"/>
    <w:rsid w:val="005545CC"/>
    <w:rsid w:val="005620C8"/>
    <w:rsid w:val="00571885"/>
    <w:rsid w:val="0060532F"/>
    <w:rsid w:val="0075460E"/>
    <w:rsid w:val="007747DC"/>
    <w:rsid w:val="007C339A"/>
    <w:rsid w:val="007E48BB"/>
    <w:rsid w:val="0082736D"/>
    <w:rsid w:val="00983C8A"/>
    <w:rsid w:val="009A40AC"/>
    <w:rsid w:val="00A07F17"/>
    <w:rsid w:val="00AA576E"/>
    <w:rsid w:val="00AA648D"/>
    <w:rsid w:val="00AF62BA"/>
    <w:rsid w:val="00B954AF"/>
    <w:rsid w:val="00BD4452"/>
    <w:rsid w:val="00C32B65"/>
    <w:rsid w:val="00CA313F"/>
    <w:rsid w:val="00CE7CA5"/>
    <w:rsid w:val="00DE468F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C3CC-4849-4D5D-9C91-4E19350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28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C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827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8970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judit</dc:creator>
  <cp:lastModifiedBy>h judit</cp:lastModifiedBy>
  <cp:revision>3</cp:revision>
  <dcterms:created xsi:type="dcterms:W3CDTF">2017-01-19T14:52:00Z</dcterms:created>
  <dcterms:modified xsi:type="dcterms:W3CDTF">2017-01-19T17:40:00Z</dcterms:modified>
</cp:coreProperties>
</file>