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DDB" w:rsidRDefault="000F1DDB" w:rsidP="000F1DDB">
      <w:pPr>
        <w:jc w:val="center"/>
        <w:rPr>
          <w:rFonts w:cs="Times New Roman"/>
          <w:b/>
          <w:sz w:val="28"/>
          <w:szCs w:val="28"/>
        </w:rPr>
      </w:pPr>
      <w:r w:rsidRPr="001E6AF2">
        <w:rPr>
          <w:rFonts w:cs="Times New Roman"/>
          <w:b/>
          <w:sz w:val="28"/>
          <w:szCs w:val="28"/>
        </w:rPr>
        <w:t>Interaction of lysophosphatidic acid with signaling protein domains: affinity, stoichiometry and the site of binding.</w:t>
      </w:r>
    </w:p>
    <w:p w:rsidR="000F1DDB" w:rsidRDefault="000F1DDB" w:rsidP="000F1DDB">
      <w:pPr>
        <w:jc w:val="center"/>
      </w:pPr>
    </w:p>
    <w:p w:rsidR="000F1DDB" w:rsidRDefault="000F1DDB" w:rsidP="000F1DDB">
      <w:pPr>
        <w:jc w:val="both"/>
      </w:pPr>
    </w:p>
    <w:p w:rsidR="000F1DDB" w:rsidRDefault="000F1DDB" w:rsidP="000F1DDB">
      <w:pPr>
        <w:jc w:val="both"/>
      </w:pPr>
      <w:r>
        <w:t>The SH2 domain of Nck1 selectively binds to LPA surfaces with high affinity. We showed via ITC the existence of two sites (K</w:t>
      </w:r>
      <w:r w:rsidRPr="001C5C0D">
        <w:rPr>
          <w:vertAlign w:val="subscript"/>
        </w:rPr>
        <w:t>D1</w:t>
      </w:r>
      <w:r>
        <w:t xml:space="preserve">=480 </w:t>
      </w:r>
      <w:proofErr w:type="spellStart"/>
      <w:r>
        <w:t>nM</w:t>
      </w:r>
      <w:proofErr w:type="spellEnd"/>
      <w:r>
        <w:t>, n</w:t>
      </w:r>
      <w:r w:rsidRPr="001C5C0D">
        <w:rPr>
          <w:vertAlign w:val="subscript"/>
        </w:rPr>
        <w:t>1</w:t>
      </w:r>
      <w:r>
        <w:t>=50, K</w:t>
      </w:r>
      <w:r w:rsidRPr="001C5C0D">
        <w:rPr>
          <w:vertAlign w:val="subscript"/>
        </w:rPr>
        <w:t>D2</w:t>
      </w:r>
      <w:r>
        <w:t xml:space="preserve">=2000 </w:t>
      </w:r>
      <w:proofErr w:type="spellStart"/>
      <w:r>
        <w:t>nM</w:t>
      </w:r>
      <w:proofErr w:type="spellEnd"/>
      <w:r>
        <w:t>, n</w:t>
      </w:r>
      <w:r w:rsidRPr="001C5C0D">
        <w:rPr>
          <w:vertAlign w:val="subscript"/>
        </w:rPr>
        <w:t>2</w:t>
      </w:r>
      <w:r>
        <w:t>=150). The high-affinity site represents the binding of the domain to LPA-surfaces, whereas the nature of the low-affinity site is still questionable (e.g. monomeric lipid site). This will be addressed by QCM measurements after the repair of our equipment.</w:t>
      </w:r>
    </w:p>
    <w:p w:rsidR="000F1DDB" w:rsidRDefault="000F1DDB" w:rsidP="000F1DDB">
      <w:pPr>
        <w:jc w:val="both"/>
      </w:pPr>
    </w:p>
    <w:p w:rsidR="000F1DDB" w:rsidRDefault="000F1DDB" w:rsidP="000F1DDB">
      <w:pPr>
        <w:jc w:val="both"/>
      </w:pPr>
      <w:r>
        <w:t xml:space="preserve">The ATR-FTIR spectrum of the domain corresponds to the published </w:t>
      </w:r>
      <w:r w:rsidRPr="001C5C0D">
        <w:rPr>
          <w:rFonts w:ascii="Symbol" w:hAnsi="Symbol"/>
        </w:rPr>
        <w:t></w:t>
      </w:r>
      <w:r>
        <w:t xml:space="preserve">-helical and </w:t>
      </w:r>
      <w:r w:rsidRPr="001C5C0D">
        <w:rPr>
          <w:rFonts w:ascii="Symbol" w:hAnsi="Symbol"/>
        </w:rPr>
        <w:t></w:t>
      </w:r>
      <w:r>
        <w:t>-sheet elements. In the presence of LPA (</w:t>
      </w:r>
      <w:proofErr w:type="spellStart"/>
      <w:r>
        <w:t>lipid:protein</w:t>
      </w:r>
      <w:proofErr w:type="spellEnd"/>
      <w:r>
        <w:t xml:space="preserve"> ratio = 10:1) the </w:t>
      </w:r>
      <w:r w:rsidRPr="001C5C0D">
        <w:rPr>
          <w:rFonts w:ascii="Symbol" w:hAnsi="Symbol"/>
        </w:rPr>
        <w:t></w:t>
      </w:r>
      <w:r>
        <w:t>-sheet band at 1639 cm</w:t>
      </w:r>
      <w:r w:rsidRPr="001C5C0D">
        <w:rPr>
          <w:vertAlign w:val="superscript"/>
        </w:rPr>
        <w:t>-1</w:t>
      </w:r>
      <w:r>
        <w:t xml:space="preserve"> shifted to 1629 cm</w:t>
      </w:r>
      <w:r w:rsidRPr="001C5C0D">
        <w:rPr>
          <w:vertAlign w:val="superscript"/>
        </w:rPr>
        <w:t>-1</w:t>
      </w:r>
      <w:r>
        <w:t xml:space="preserve">, probably by the re-arrangement of </w:t>
      </w:r>
      <w:r w:rsidRPr="001C5C0D">
        <w:rPr>
          <w:rFonts w:ascii="Symbol" w:hAnsi="Symbol"/>
        </w:rPr>
        <w:t></w:t>
      </w:r>
      <w:r>
        <w:t xml:space="preserve">-sheets and </w:t>
      </w:r>
      <w:r w:rsidRPr="001C5C0D">
        <w:rPr>
          <w:rFonts w:ascii="Symbol" w:hAnsi="Symbol"/>
        </w:rPr>
        <w:t></w:t>
      </w:r>
      <w:r>
        <w:t xml:space="preserve">-helical elements, </w:t>
      </w:r>
      <w:proofErr w:type="spellStart"/>
      <w:r>
        <w:t>favouring</w:t>
      </w:r>
      <w:proofErr w:type="spellEnd"/>
      <w:r>
        <w:t xml:space="preserve"> intermolecular interactions of the </w:t>
      </w:r>
      <w:r w:rsidRPr="001C5C0D">
        <w:rPr>
          <w:rFonts w:ascii="Symbol" w:hAnsi="Symbol"/>
        </w:rPr>
        <w:t></w:t>
      </w:r>
      <w:r>
        <w:t>-sheets.</w:t>
      </w:r>
    </w:p>
    <w:p w:rsidR="000F1DDB" w:rsidRDefault="000F1DDB" w:rsidP="000F1DDB">
      <w:pPr>
        <w:jc w:val="both"/>
      </w:pPr>
    </w:p>
    <w:p w:rsidR="000F1DDB" w:rsidRDefault="000F1DDB" w:rsidP="000F1DDB">
      <w:pPr>
        <w:jc w:val="both"/>
      </w:pPr>
      <w:r>
        <w:t xml:space="preserve">We demonstrated the specificity of the domain binding to its known </w:t>
      </w:r>
      <w:proofErr w:type="spellStart"/>
      <w:r>
        <w:t>phosphopeptide</w:t>
      </w:r>
      <w:proofErr w:type="spellEnd"/>
      <w:r>
        <w:t xml:space="preserve"> (ITC, QCM). In the presence of monomeric LPA the apparent affinity became weaker, while LPA micelles disrupted the binding, indicative of a competition mechanism.</w:t>
      </w:r>
    </w:p>
    <w:p w:rsidR="00061FE0" w:rsidRDefault="00061FE0">
      <w:bookmarkStart w:id="0" w:name="_GoBack"/>
      <w:bookmarkEnd w:id="0"/>
    </w:p>
    <w:sectPr w:rsidR="00061FE0" w:rsidSect="000E11BB">
      <w:pgSz w:w="11900" w:h="16840"/>
      <w:pgMar w:top="1418" w:right="1588" w:bottom="1418" w:left="158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DB"/>
    <w:rsid w:val="00061FE0"/>
    <w:rsid w:val="000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7C006-B365-4D3A-B9EF-8A8C0DB9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1DDB"/>
    <w:pPr>
      <w:spacing w:after="0" w:line="240" w:lineRule="auto"/>
    </w:pPr>
    <w:rPr>
      <w:rFonts w:ascii="Times New Roman" w:eastAsiaTheme="minorEastAsia" w:hAnsi="Times New Roman"/>
      <w:sz w:val="24"/>
      <w:szCs w:val="24"/>
      <w:lang w:val="en-US"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judit</dc:creator>
  <cp:keywords/>
  <dc:description/>
  <cp:lastModifiedBy>h judit</cp:lastModifiedBy>
  <cp:revision>1</cp:revision>
  <dcterms:created xsi:type="dcterms:W3CDTF">2017-06-20T16:59:00Z</dcterms:created>
  <dcterms:modified xsi:type="dcterms:W3CDTF">2017-06-20T16:59:00Z</dcterms:modified>
</cp:coreProperties>
</file>